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Verdana"/>
          <w:b/>
        </w:rPr>
      </w:pPr>
      <w:r>
        <w:rPr>
          <w:rFonts w:cs="Verdana" w:ascii="Verdana" w:hAnsi="Verdana"/>
          <w:b/>
        </w:rPr>
        <w:t>ANEXO III</w:t>
      </w:r>
    </w:p>
    <w:tbl>
      <w:tblPr>
        <w:tblW w:w="9127"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3060"/>
        <w:gridCol w:w="6066"/>
      </w:tblGrid>
      <w:tr>
        <w:trPr>
          <w:trHeight w:val="285" w:hRule="atLeast"/>
        </w:trPr>
        <w:tc>
          <w:tcPr>
            <w:tcW w:w="3060" w:type="dxa"/>
            <w:tcBorders/>
          </w:tcPr>
          <w:p>
            <w:pPr>
              <w:pStyle w:val="Normal"/>
              <w:widowControl w:val="false"/>
              <w:snapToGrid w:val="false"/>
              <w:spacing w:lineRule="auto" w:line="276"/>
              <w:rPr>
                <w:rFonts w:ascii="Verdana" w:hAnsi="Verdana" w:cs="Verdana"/>
                <w:b/>
              </w:rPr>
            </w:pPr>
            <w:r>
              <w:rPr>
                <w:rFonts w:cs="Verdana" w:ascii="Verdana" w:hAnsi="Verdana"/>
                <w:b/>
              </w:rPr>
            </w:r>
          </w:p>
        </w:tc>
        <w:tc>
          <w:tcPr>
            <w:tcW w:w="6066" w:type="dxa"/>
            <w:tcBorders/>
          </w:tcPr>
          <w:p>
            <w:pPr>
              <w:pStyle w:val="Normal"/>
              <w:widowControl w:val="false"/>
              <w:spacing w:lineRule="auto" w:line="276"/>
              <w:jc w:val="right"/>
              <w:rPr>
                <w:rFonts w:ascii="Verdana" w:hAnsi="Verdana" w:cs="Verdana"/>
                <w:b/>
              </w:rPr>
            </w:pPr>
            <w:r>
              <w:rPr>
                <w:rFonts w:cs="Verdana" w:ascii="Verdana" w:hAnsi="Verdana"/>
                <w:b/>
              </w:rPr>
            </w:r>
          </w:p>
          <w:p>
            <w:pPr>
              <w:pStyle w:val="Normal"/>
              <w:widowControl w:val="false"/>
              <w:spacing w:lineRule="auto" w:line="276"/>
              <w:jc w:val="right"/>
              <w:rPr>
                <w:rFonts w:ascii="Verdana" w:hAnsi="Verdana" w:cs="Verdana"/>
                <w:b/>
              </w:rPr>
            </w:pPr>
            <w:r>
              <w:rPr>
                <w:rFonts w:cs="Verdana" w:ascii="Verdana" w:hAnsi="Verdana"/>
                <w:b/>
              </w:rPr>
              <w:t>MINUTA DE CONTRATO Nº _____.</w:t>
            </w:r>
          </w:p>
        </w:tc>
      </w:tr>
    </w:tbl>
    <w:p>
      <w:pPr>
        <w:pStyle w:val="Normal"/>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PREÂMBULO</w:t>
      </w:r>
    </w:p>
    <w:p>
      <w:pPr>
        <w:pStyle w:val="Normal"/>
        <w:spacing w:lineRule="auto" w:line="276"/>
        <w:jc w:val="both"/>
        <w:rPr/>
      </w:pPr>
      <w:r>
        <w:rPr>
          <w:rFonts w:cs="Verdana" w:ascii="Verdana" w:hAnsi="Verdana"/>
          <w:b/>
        </w:rPr>
        <w:t>a) CONTRATANTES</w:t>
      </w:r>
      <w:r>
        <w:rPr>
          <w:rFonts w:cs="Verdana" w:ascii="Verdana" w:hAnsi="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pPr>
        <w:pStyle w:val="Normal"/>
        <w:tabs>
          <w:tab w:val="clear" w:pos="708"/>
          <w:tab w:val="left" w:pos="0" w:leader="none"/>
        </w:tabs>
        <w:spacing w:lineRule="auto" w:line="276"/>
        <w:jc w:val="both"/>
        <w:rPr/>
      </w:pPr>
      <w:r>
        <w:rPr>
          <w:rFonts w:cs="Verdana" w:ascii="Verdana" w:hAnsi="Verdana"/>
          <w:b/>
        </w:rPr>
        <w:t>b) LOCAL E DATA</w:t>
      </w:r>
      <w:r>
        <w:rPr>
          <w:rFonts w:cs="Verdana" w:ascii="Verdana" w:hAnsi="Verdana"/>
        </w:rPr>
        <w:t>: Lavrado e assinado nesta cidade, na Praça Vicente Glazar, nº 159, sede da Prefeitura Municipal de São Gabriel da Palha no dia ___ do mês de ________ do ano de 2019.</w:t>
      </w:r>
    </w:p>
    <w:p>
      <w:pPr>
        <w:pStyle w:val="Normal"/>
        <w:tabs>
          <w:tab w:val="clear" w:pos="708"/>
          <w:tab w:val="left" w:pos="0" w:leader="none"/>
        </w:tabs>
        <w:spacing w:lineRule="auto" w:line="276"/>
        <w:jc w:val="both"/>
        <w:rPr/>
      </w:pPr>
      <w:r>
        <w:rPr>
          <w:rFonts w:cs="Verdana" w:ascii="Verdana" w:hAnsi="Verdana"/>
          <w:b/>
        </w:rPr>
        <w:t>c) REPRESENTANTES</w:t>
      </w:r>
      <w:r>
        <w:rPr>
          <w:rFonts w:cs="Verdana" w:ascii="Verdana" w:hAnsi="Verdana"/>
        </w:rPr>
        <w:t>: Representa o CONTRATANTE, o Senhor ___________________, Prefeito Municipal, brasileiro, casado, residente na _____________, nesta cidade, inscrito no CPF/MF sob o n.º __________________ e a CONTRATADA _______________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pPr>
      <w:r>
        <w:rPr>
          <w:rFonts w:cs="Verdana" w:ascii="Verdana" w:hAnsi="Verdana"/>
          <w:b/>
        </w:rPr>
        <w:t>d) FUNDAMENTO</w:t>
      </w:r>
      <w:r>
        <w:rPr>
          <w:rFonts w:cs="Verdana" w:ascii="Verdana" w:hAnsi="Verdana"/>
        </w:rPr>
        <w:t xml:space="preserve">: O presente contrato tem como fundamento a Lei 14.133 de 01/04/2021, suas alterações, </w:t>
      </w:r>
      <w:r>
        <w:rPr>
          <w:rFonts w:eastAsia="Batang;바탕" w:cs="Verdana" w:ascii="Verdana" w:hAnsi="Verdana"/>
          <w:b/>
          <w:bCs/>
          <w:color w:val="000000"/>
        </w:rPr>
        <w:t xml:space="preserve">Processo Administrativo nº </w:t>
      </w:r>
      <w:r>
        <w:rPr>
          <w:rFonts w:eastAsia="Batang;바탕" w:cs="Verdana" w:ascii="Verdana" w:hAnsi="Verdana"/>
          <w:b/>
          <w:bCs/>
          <w:color w:val="000000"/>
        </w:rPr>
        <w:t>1317</w:t>
      </w:r>
      <w:r>
        <w:rPr>
          <w:rFonts w:eastAsia="Batang;바탕" w:cs="Verdana" w:ascii="Verdana" w:hAnsi="Verdana"/>
          <w:b/>
          <w:bCs/>
          <w:color w:val="000000"/>
        </w:rPr>
        <w:t>/202</w:t>
      </w:r>
      <w:r>
        <w:rPr>
          <w:rFonts w:eastAsia="Batang;바탕" w:cs="Verdana" w:ascii="Verdana" w:hAnsi="Verdana"/>
          <w:b/>
          <w:bCs/>
          <w:color w:val="000000"/>
        </w:rPr>
        <w:t>5</w:t>
      </w:r>
      <w:r>
        <w:rPr>
          <w:rFonts w:eastAsia="Batang;바탕" w:cs="Verdana" w:ascii="Verdana" w:hAnsi="Verdana"/>
          <w:b/>
          <w:bCs/>
          <w:color w:val="000000"/>
        </w:rPr>
        <w:t xml:space="preserve"> de </w:t>
      </w:r>
      <w:r>
        <w:rPr>
          <w:rFonts w:eastAsia="Batang;바탕" w:cs="Verdana" w:ascii="Verdana" w:hAnsi="Verdana"/>
          <w:b/>
          <w:bCs/>
          <w:color w:val="000000"/>
        </w:rPr>
        <w:t>19</w:t>
      </w:r>
      <w:r>
        <w:rPr>
          <w:rFonts w:eastAsia="Batang;바탕" w:cs="Verdana" w:ascii="Verdana" w:hAnsi="Verdana"/>
          <w:b/>
          <w:bCs/>
          <w:color w:val="000000"/>
        </w:rPr>
        <w:t>/</w:t>
      </w:r>
      <w:r>
        <w:rPr>
          <w:rFonts w:eastAsia="Batang;바탕" w:cs="Verdana" w:ascii="Verdana" w:hAnsi="Verdana"/>
          <w:b/>
          <w:bCs/>
          <w:color w:val="000000"/>
        </w:rPr>
        <w:t>02</w:t>
      </w:r>
      <w:r>
        <w:rPr>
          <w:rFonts w:eastAsia="Batang;바탕" w:cs="Verdana" w:ascii="Verdana" w:hAnsi="Verdana"/>
          <w:b/>
          <w:bCs/>
          <w:color w:val="000000"/>
        </w:rPr>
        <w:t>/202</w:t>
      </w:r>
      <w:r>
        <w:rPr>
          <w:rFonts w:eastAsia="Batang;바탕" w:cs="Verdana" w:ascii="Verdana" w:hAnsi="Verdana"/>
          <w:b/>
          <w:bCs/>
          <w:color w:val="000000"/>
        </w:rPr>
        <w:t>5</w:t>
      </w:r>
      <w:r>
        <w:rPr>
          <w:rFonts w:eastAsia="Batang;바탕" w:cs="Verdana" w:ascii="Verdana" w:hAnsi="Verdana"/>
          <w:b/>
          <w:bCs/>
          <w:color w:val="000000"/>
        </w:rPr>
        <w:t xml:space="preserve">, </w:t>
      </w:r>
      <w:r>
        <w:rPr>
          <w:rFonts w:cs="Verdana" w:ascii="Verdana" w:hAnsi="Verdana"/>
          <w:b/>
          <w:bCs/>
          <w:color w:val="000000"/>
        </w:rPr>
        <w:t>Pregão Eletrônico nº 00</w:t>
      </w:r>
      <w:r>
        <w:rPr>
          <w:rFonts w:cs="Verdana" w:ascii="Verdana" w:hAnsi="Verdana"/>
          <w:b/>
          <w:bCs/>
          <w:color w:val="000000"/>
        </w:rPr>
        <w:t>8</w:t>
      </w:r>
      <w:r>
        <w:rPr>
          <w:rFonts w:cs="Verdana" w:ascii="Verdana" w:hAnsi="Verdana"/>
          <w:b/>
          <w:bCs/>
          <w:color w:val="000000"/>
        </w:rPr>
        <w:t>/2024</w:t>
      </w:r>
      <w:r>
        <w:rPr>
          <w:rFonts w:eastAsia="Batang;바탕" w:cs="Verdana" w:ascii="Verdana" w:hAnsi="Verdana"/>
          <w:b/>
          <w:bCs/>
          <w:color w:val="000000"/>
        </w:rPr>
        <w:t xml:space="preserve"> de </w:t>
      </w:r>
      <w:r>
        <w:rPr>
          <w:rFonts w:eastAsia="Batang;바탕" w:cs="Verdana" w:ascii="Verdana" w:hAnsi="Verdana"/>
          <w:b/>
          <w:bCs/>
          <w:color w:val="000000"/>
        </w:rPr>
        <w:t>12</w:t>
      </w:r>
      <w:r>
        <w:rPr>
          <w:rFonts w:eastAsia="Batang;바탕" w:cs="Verdana" w:ascii="Verdana" w:hAnsi="Verdana"/>
          <w:b/>
          <w:bCs/>
          <w:color w:val="000000"/>
        </w:rPr>
        <w:t>/0</w:t>
      </w:r>
      <w:r>
        <w:rPr>
          <w:rFonts w:eastAsia="Batang;바탕" w:cs="Verdana" w:ascii="Verdana" w:hAnsi="Verdana"/>
          <w:b/>
          <w:bCs/>
          <w:color w:val="000000"/>
        </w:rPr>
        <w:t>3</w:t>
      </w:r>
      <w:r>
        <w:rPr>
          <w:rFonts w:eastAsia="Batang;바탕" w:cs="Verdana" w:ascii="Verdana" w:hAnsi="Verdana"/>
          <w:b/>
          <w:bCs/>
          <w:color w:val="000000"/>
        </w:rPr>
        <w:t>/2025</w:t>
      </w:r>
      <w:r>
        <w:rPr>
          <w:rFonts w:cs="Verdana" w:ascii="Verdana" w:hAnsi="Verdana"/>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PRIMEIRA – DO OBJETO</w:t>
      </w:r>
    </w:p>
    <w:p>
      <w:pPr>
        <w:pStyle w:val="Normal"/>
        <w:numPr>
          <w:ilvl w:val="1"/>
          <w:numId w:val="4"/>
        </w:numPr>
        <w:shd w:val="clear" w:color="auto" w:fill="FFFFFF"/>
        <w:tabs>
          <w:tab w:val="clear" w:pos="708"/>
          <w:tab w:val="left" w:pos="308" w:leader="none"/>
          <w:tab w:val="left" w:pos="450" w:leader="none"/>
        </w:tabs>
        <w:overflowPunct w:val="false"/>
        <w:spacing w:lineRule="auto" w:line="276"/>
        <w:ind w:left="0" w:hanging="0"/>
        <w:jc w:val="both"/>
        <w:textAlignment w:val="auto"/>
        <w:rPr/>
      </w:pPr>
      <w:r>
        <w:rPr>
          <w:rFonts w:cs="Verdana" w:ascii="Verdana" w:hAnsi="Verdana"/>
        </w:rPr>
        <w:t xml:space="preserve">O Objeto da presente é </w:t>
      </w:r>
      <w:r>
        <w:rPr>
          <w:rFonts w:cs="Arial" w:ascii="Verdana" w:hAnsi="Verdana"/>
          <w:color w:val="000000"/>
          <w:sz w:val="20"/>
          <w:szCs w:val="20"/>
        </w:rPr>
        <w:t xml:space="preserve">aquisição de </w:t>
      </w:r>
      <w:r>
        <w:rPr>
          <w:rFonts w:cs="Arial" w:ascii="Verdana" w:hAnsi="Verdana"/>
          <w:color w:val="000000"/>
          <w:sz w:val="20"/>
          <w:szCs w:val="20"/>
        </w:rPr>
        <w:t>pneus para os veículos do Departamento de Limpeza Pública da Secretaria Municipal de Serviços Urbanos e Transportes</w:t>
      </w:r>
      <w:r>
        <w:rPr>
          <w:rFonts w:eastAsia="Batang;바탕" w:cs="Arial" w:ascii="Verdana" w:hAnsi="Verdana"/>
          <w:color w:val="000000"/>
          <w:kern w:val="2"/>
          <w:sz w:val="20"/>
          <w:szCs w:val="20"/>
          <w:lang w:eastAsia="en-US" w:bidi="pt-BR"/>
        </w:rPr>
        <w:t xml:space="preserve"> deste município, conforme c</w:t>
      </w:r>
      <w:r>
        <w:rPr>
          <w:rFonts w:cs="Arial" w:ascii="Verdana" w:hAnsi="Verdana"/>
          <w:sz w:val="20"/>
          <w:szCs w:val="20"/>
        </w:rPr>
        <w:t>ondições, quantidades e exigências estabelecidas neste Edital e seus anexos.</w:t>
      </w:r>
    </w:p>
    <w:p>
      <w:pPr>
        <w:pStyle w:val="Normal"/>
        <w:tabs>
          <w:tab w:val="clear" w:pos="708"/>
          <w:tab w:val="left" w:pos="10348" w:leader="none"/>
        </w:tabs>
        <w:spacing w:lineRule="auto" w:line="276"/>
        <w:jc w:val="both"/>
        <w:rPr>
          <w:rFonts w:ascii="Verdana" w:hAnsi="Verdana"/>
        </w:rPr>
      </w:pPr>
      <w:r>
        <w:rPr>
          <w:rFonts w:ascii="Verdana" w:hAnsi="Verdana"/>
        </w:rPr>
      </w:r>
    </w:p>
    <w:tbl>
      <w:tblPr>
        <w:tblW w:w="8955" w:type="dxa"/>
        <w:jc w:val="left"/>
        <w:tblInd w:w="79" w:type="dxa"/>
        <w:tblLayout w:type="fixed"/>
        <w:tblCellMar>
          <w:top w:w="55" w:type="dxa"/>
          <w:left w:w="55" w:type="dxa"/>
          <w:bottom w:w="55" w:type="dxa"/>
          <w:right w:w="55" w:type="dxa"/>
        </w:tblCellMar>
        <w:tblLook w:firstRow="1" w:noVBand="1" w:lastRow="0" w:firstColumn="1" w:lastColumn="0" w:noHBand="0" w:val="04a0"/>
      </w:tblPr>
      <w:tblGrid>
        <w:gridCol w:w="795"/>
        <w:gridCol w:w="3675"/>
        <w:gridCol w:w="1020"/>
        <w:gridCol w:w="1980"/>
        <w:gridCol w:w="1485"/>
      </w:tblGrid>
      <w:tr>
        <w:trPr>
          <w:trHeight w:val="285" w:hRule="atLeast"/>
        </w:trPr>
        <w:tc>
          <w:tcPr>
            <w:tcW w:w="795"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ITEM</w:t>
            </w:r>
          </w:p>
        </w:tc>
        <w:tc>
          <w:tcPr>
            <w:tcW w:w="3675"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OBJETO</w:t>
            </w:r>
          </w:p>
        </w:tc>
        <w:tc>
          <w:tcPr>
            <w:tcW w:w="1020"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QUANT.</w:t>
            </w:r>
          </w:p>
        </w:tc>
        <w:tc>
          <w:tcPr>
            <w:tcW w:w="1980"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VALOR MÉDIO</w:t>
            </w:r>
          </w:p>
        </w:tc>
        <w:tc>
          <w:tcPr>
            <w:tcW w:w="1485"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TOTAL R$</w:t>
            </w:r>
          </w:p>
        </w:tc>
      </w:tr>
      <w:tr>
        <w:trPr/>
        <w:tc>
          <w:tcPr>
            <w:tcW w:w="795"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3675"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1020"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1980"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1485" w:type="dxa"/>
            <w:tcBorders>
              <w:left w:val="single" w:sz="4" w:space="0" w:color="000000"/>
              <w:bottom w:val="single" w:sz="4" w:space="0" w:color="000000"/>
              <w:right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r>
    </w:tbl>
    <w:p>
      <w:pPr>
        <w:pStyle w:val="Normal"/>
        <w:spacing w:lineRule="auto" w:line="276"/>
        <w:jc w:val="both"/>
        <w:rPr>
          <w:rFonts w:ascii="Verdana" w:hAnsi="Verdana" w:cs="Verdana"/>
          <w:b/>
          <w:iCs/>
        </w:rPr>
      </w:pPr>
      <w:r>
        <w:rPr>
          <w:rFonts w:cs="Verdana" w:ascii="Verdana" w:hAnsi="Verdana"/>
          <w:b/>
          <w:iCs/>
        </w:rPr>
      </w:r>
    </w:p>
    <w:p>
      <w:pPr>
        <w:pStyle w:val="Normal"/>
        <w:spacing w:lineRule="auto" w:line="276"/>
        <w:jc w:val="both"/>
        <w:rPr>
          <w:rFonts w:ascii="Verdana" w:hAnsi="Verdana" w:cs="Verdana"/>
          <w:b/>
          <w:u w:val="single"/>
        </w:rPr>
      </w:pPr>
      <w:r>
        <w:rPr>
          <w:rFonts w:cs="Verdana" w:ascii="Verdana" w:hAnsi="Verdana"/>
          <w:b/>
          <w:u w:val="single"/>
        </w:rPr>
        <w:t xml:space="preserve">CLÁUSULA SEGUNDA – MODELO DE EXECUÇÃO CONTRATUAL E </w:t>
      </w:r>
      <w:r>
        <w:rPr>
          <w:rFonts w:cs="Verdana" w:ascii="Verdana" w:hAnsi="Verdana"/>
          <w:b/>
          <w:u w:val="single"/>
        </w:rPr>
        <w:t>MODELO DE GESTÃO DO CONTRATO</w:t>
      </w:r>
      <w:r>
        <w:rPr>
          <w:rFonts w:cs="Verdana" w:ascii="Verdana" w:hAnsi="Verdana"/>
          <w:b/>
          <w:u w:val="single"/>
        </w:rPr>
        <w:t>:</w:t>
      </w:r>
    </w:p>
    <w:p>
      <w:pPr>
        <w:pStyle w:val="Normal"/>
        <w:spacing w:lineRule="auto" w:line="240"/>
        <w:jc w:val="both"/>
        <w:rPr>
          <w:rFonts w:ascii="Verdana" w:hAnsi="Verdana"/>
          <w:sz w:val="20"/>
          <w:szCs w:val="20"/>
        </w:rPr>
      </w:pPr>
      <w:r>
        <w:rPr>
          <w:rFonts w:cs="Verdana" w:ascii="Verdana" w:hAnsi="Verdana"/>
          <w:b/>
          <w:iCs/>
          <w:sz w:val="20"/>
          <w:szCs w:val="20"/>
        </w:rPr>
        <w:t xml:space="preserve">2.1 </w:t>
      </w:r>
      <w:r>
        <w:rPr>
          <w:rFonts w:cs="Times New Roman" w:ascii="Verdana" w:hAnsi="Verdana"/>
          <w:b/>
          <w:bCs/>
          <w:iCs/>
          <w:sz w:val="20"/>
          <w:szCs w:val="20"/>
        </w:rPr>
        <w:t xml:space="preserve">O prazo </w:t>
      </w:r>
      <w:r>
        <w:rPr>
          <w:rFonts w:eastAsia="Times New Roman" w:cs="Times New Roman" w:ascii="Verdana" w:hAnsi="Verdana"/>
          <w:b/>
          <w:bCs/>
          <w:iCs/>
          <w:sz w:val="20"/>
          <w:szCs w:val="20"/>
        </w:rPr>
        <w:t>de entrega do objeto</w:t>
      </w:r>
      <w:r>
        <w:rPr>
          <w:rFonts w:cs="Times New Roman" w:ascii="Verdana" w:hAnsi="Verdana"/>
          <w:b/>
          <w:bCs/>
          <w:iCs/>
          <w:sz w:val="20"/>
          <w:szCs w:val="20"/>
        </w:rPr>
        <w:t xml:space="preserve"> será </w:t>
      </w:r>
      <w:r>
        <w:rPr>
          <w:rFonts w:eastAsia="Times New Roman" w:cs="Times New Roman" w:ascii="Verdana" w:hAnsi="Verdana"/>
          <w:b/>
          <w:bCs/>
          <w:iCs/>
          <w:sz w:val="20"/>
          <w:szCs w:val="20"/>
        </w:rPr>
        <w:t>de 15 (quinze) dias, contados</w:t>
      </w:r>
      <w:r>
        <w:rPr>
          <w:rFonts w:cs="Times New Roman" w:ascii="Verdana" w:hAnsi="Verdana"/>
          <w:b/>
          <w:bCs/>
          <w:iCs/>
          <w:sz w:val="20"/>
          <w:szCs w:val="20"/>
        </w:rPr>
        <w:t xml:space="preserve"> a partir da confirmação de recebimento da autorização de fornecimento/execução emitida pelo Departamento de Compras e Contratos.</w:t>
      </w:r>
    </w:p>
    <w:p>
      <w:pPr>
        <w:pStyle w:val="Normal"/>
        <w:tabs>
          <w:tab w:val="clear" w:pos="708"/>
          <w:tab w:val="left" w:pos="0" w:leader="none"/>
        </w:tabs>
        <w:spacing w:lineRule="auto" w:line="240"/>
        <w:ind w:left="0" w:right="0" w:hanging="0"/>
        <w:jc w:val="both"/>
        <w:rPr>
          <w:rFonts w:ascii="Verdana" w:hAnsi="Verdana"/>
          <w:sz w:val="20"/>
          <w:szCs w:val="20"/>
        </w:rPr>
      </w:pPr>
      <w:r>
        <w:rPr>
          <w:rFonts w:ascii="Verdana" w:hAnsi="Verdana"/>
          <w:b w:val="false"/>
          <w:bCs w:val="false"/>
          <w:sz w:val="20"/>
          <w:szCs w:val="20"/>
        </w:rPr>
        <w:t>2</w:t>
      </w:r>
      <w:r>
        <w:rPr>
          <w:rFonts w:ascii="Verdana" w:hAnsi="Verdana"/>
          <w:b w:val="false"/>
          <w:bCs w:val="false"/>
          <w:sz w:val="20"/>
          <w:szCs w:val="20"/>
        </w:rPr>
        <w:t>.2.</w:t>
      </w:r>
      <w:r>
        <w:rPr>
          <w:rFonts w:ascii="Verdana" w:hAnsi="Verdana"/>
          <w:sz w:val="20"/>
          <w:szCs w:val="20"/>
        </w:rPr>
        <w:t xml:space="preserve"> </w:t>
      </w:r>
      <w:r>
        <w:rPr>
          <w:rFonts w:eastAsia="Times New Roman" w:cs="Times New Roman" w:ascii="Verdana" w:hAnsi="Verdana"/>
          <w:sz w:val="20"/>
          <w:szCs w:val="20"/>
        </w:rPr>
        <w:t>O objeto</w:t>
      </w:r>
      <w:r>
        <w:rPr>
          <w:rFonts w:ascii="Verdana" w:hAnsi="Verdana"/>
          <w:sz w:val="20"/>
          <w:szCs w:val="20"/>
        </w:rPr>
        <w:t xml:space="preserve"> deverá ser entregue no seguinte endereço:</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Times New Roman" w:ascii="Verdana" w:hAnsi="Verdana"/>
          <w:color w:val="auto"/>
          <w:kern w:val="0"/>
          <w:sz w:val="20"/>
          <w:szCs w:val="20"/>
          <w:lang w:val="pt-BR" w:eastAsia="pt-BR" w:bidi="ar-SA"/>
        </w:rPr>
        <w:t>- Departamento de Almoxarifado Central</w:t>
      </w:r>
      <w:r>
        <w:rPr>
          <w:rFonts w:ascii="Verdana" w:hAnsi="Verdana"/>
          <w:sz w:val="20"/>
          <w:szCs w:val="20"/>
        </w:rPr>
        <w:t xml:space="preserve"> da Prefeitura Municipal de São Gabriel da Palha (lateral do prédio)</w:t>
      </w:r>
    </w:p>
    <w:p>
      <w:pPr>
        <w:pStyle w:val="Normal"/>
        <w:tabs>
          <w:tab w:val="clear" w:pos="708"/>
          <w:tab w:val="left" w:pos="0" w:leader="none"/>
        </w:tabs>
        <w:spacing w:lineRule="auto" w:line="240"/>
        <w:ind w:left="0" w:right="0" w:hanging="0"/>
        <w:jc w:val="both"/>
        <w:rPr>
          <w:rFonts w:ascii="Verdana" w:hAnsi="Verdana"/>
          <w:sz w:val="20"/>
          <w:szCs w:val="20"/>
        </w:rPr>
      </w:pPr>
      <w:r>
        <w:rPr>
          <w:rFonts w:ascii="Verdana" w:hAnsi="Verdana"/>
          <w:sz w:val="20"/>
          <w:szCs w:val="20"/>
        </w:rPr>
        <w:t xml:space="preserve"> </w:t>
      </w:r>
      <w:r>
        <w:rPr>
          <w:rFonts w:ascii="Verdana" w:hAnsi="Verdana"/>
          <w:sz w:val="20"/>
          <w:szCs w:val="20"/>
        </w:rPr>
        <w:t xml:space="preserve">- Praça Vicente Glazar, 159, Bairro </w:t>
      </w:r>
      <w:r>
        <w:rPr>
          <w:rFonts w:eastAsia="Times New Roman" w:cs="Times New Roman" w:ascii="Verdana" w:hAnsi="Verdana"/>
          <w:color w:val="auto"/>
          <w:kern w:val="0"/>
          <w:sz w:val="20"/>
          <w:szCs w:val="20"/>
          <w:lang w:val="pt-BR" w:eastAsia="pt-BR" w:bidi="ar-SA"/>
        </w:rPr>
        <w:t>Glória.</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Times New Roman" w:ascii="Verdana" w:hAnsi="Verdana"/>
          <w:color w:val="auto"/>
          <w:kern w:val="0"/>
          <w:sz w:val="20"/>
          <w:szCs w:val="20"/>
          <w:lang w:val="pt-BR" w:eastAsia="pt-BR" w:bidi="ar-SA"/>
        </w:rPr>
        <w:t xml:space="preserve"> </w:t>
      </w:r>
      <w:r>
        <w:rPr>
          <w:rFonts w:eastAsia="Times New Roman" w:cs="Times New Roman" w:ascii="Verdana" w:hAnsi="Verdana"/>
          <w:color w:val="auto"/>
          <w:kern w:val="0"/>
          <w:sz w:val="20"/>
          <w:szCs w:val="20"/>
          <w:lang w:val="pt-BR" w:eastAsia="pt-BR" w:bidi="ar-SA"/>
        </w:rPr>
        <w:t>- São Gabriel da Palha – ES, Cep .29.780-000.</w:t>
      </w:r>
    </w:p>
    <w:p>
      <w:pPr>
        <w:pStyle w:val="Normal"/>
        <w:tabs>
          <w:tab w:val="clear" w:pos="708"/>
          <w:tab w:val="left" w:pos="508" w:leader="none"/>
        </w:tabs>
        <w:spacing w:lineRule="auto" w:line="240"/>
        <w:ind w:left="0" w:right="0" w:hanging="0"/>
        <w:jc w:val="both"/>
        <w:rPr>
          <w:rFonts w:ascii="Verdana" w:hAnsi="Verdana"/>
          <w:sz w:val="20"/>
          <w:szCs w:val="20"/>
        </w:rPr>
      </w:pPr>
      <w:r>
        <w:rPr>
          <w:rFonts w:ascii="Verdana" w:hAnsi="Verdana"/>
          <w:sz w:val="20"/>
          <w:szCs w:val="20"/>
        </w:rPr>
        <w:t xml:space="preserve"> </w:t>
      </w:r>
      <w:r>
        <w:rPr>
          <w:rFonts w:ascii="Verdana" w:hAnsi="Verdana"/>
          <w:sz w:val="20"/>
          <w:szCs w:val="20"/>
        </w:rPr>
        <w:t>- Telefone de contato: (27) 3727-2770</w:t>
      </w:r>
    </w:p>
    <w:p>
      <w:pPr>
        <w:pStyle w:val="Normal"/>
        <w:tabs>
          <w:tab w:val="clear" w:pos="708"/>
          <w:tab w:val="left" w:pos="508" w:leader="none"/>
        </w:tabs>
        <w:spacing w:lineRule="auto" w:line="240"/>
        <w:ind w:left="20" w:right="0" w:hanging="0"/>
        <w:jc w:val="both"/>
        <w:rPr/>
      </w:pPr>
      <w:r>
        <w:rPr>
          <w:rStyle w:val="LinkdaInternet"/>
          <w:rFonts w:eastAsia="Times New Roman" w:cs="Times New Roman" w:ascii="Verdana" w:hAnsi="Verdana"/>
          <w:color w:val="000000"/>
          <w:sz w:val="20"/>
          <w:szCs w:val="20"/>
          <w:u w:val="none"/>
        </w:rPr>
        <w:t xml:space="preserve"> </w:t>
      </w:r>
      <w:r>
        <w:rPr>
          <w:rStyle w:val="LinkdaInternet"/>
          <w:rFonts w:eastAsia="Times New Roman" w:cs="Times New Roman" w:ascii="Verdana" w:hAnsi="Verdana"/>
          <w:color w:val="000000"/>
          <w:sz w:val="20"/>
          <w:szCs w:val="20"/>
          <w:u w:val="none"/>
        </w:rPr>
        <w:t xml:space="preserve">- E-mail: </w:t>
      </w:r>
      <w:r>
        <w:rPr>
          <w:rStyle w:val="LinkdaInternet"/>
          <w:rFonts w:eastAsia="Times New Roman" w:cs="Times New Roman" w:ascii="Verdana" w:hAnsi="Verdana"/>
          <w:color w:val="000000"/>
          <w:kern w:val="0"/>
          <w:sz w:val="20"/>
          <w:szCs w:val="20"/>
          <w:u w:val="none"/>
          <w:lang w:val="pt-BR" w:eastAsia="pt-BR" w:bidi="ar-SA"/>
        </w:rPr>
        <w:t>servurbanos@saogabriel.es.gov.br</w:t>
      </w:r>
    </w:p>
    <w:p>
      <w:pPr>
        <w:pStyle w:val="Normal"/>
        <w:tabs>
          <w:tab w:val="clear" w:pos="708"/>
          <w:tab w:val="left" w:pos="508" w:leader="none"/>
        </w:tabs>
        <w:spacing w:lineRule="auto" w:line="240"/>
        <w:ind w:left="0" w:right="0" w:hanging="0"/>
        <w:jc w:val="both"/>
        <w:rPr>
          <w:rFonts w:ascii="Verdana" w:hAnsi="Verdana"/>
          <w:sz w:val="20"/>
          <w:szCs w:val="20"/>
        </w:rPr>
      </w:pPr>
      <w:r>
        <w:rPr>
          <w:rFonts w:cs="Times New Roman" w:ascii="Verdana" w:hAnsi="Verdana"/>
          <w:b w:val="false"/>
          <w:bCs w:val="false"/>
          <w:iCs/>
          <w:sz w:val="20"/>
          <w:szCs w:val="20"/>
        </w:rPr>
        <w:t xml:space="preserve">- Responsável: </w:t>
      </w:r>
      <w:r>
        <w:rPr>
          <w:rFonts w:eastAsia="Times New Roman" w:cs="Times New Roman" w:ascii="Verdana" w:hAnsi="Verdana"/>
          <w:b w:val="false"/>
          <w:bCs w:val="false"/>
          <w:iCs/>
          <w:sz w:val="20"/>
          <w:szCs w:val="20"/>
          <w:u w:val="none"/>
        </w:rPr>
        <w:t xml:space="preserve">Secretaria Municipal de </w:t>
      </w:r>
      <w:r>
        <w:rPr>
          <w:rFonts w:eastAsia="Times New Roman" w:cs="Times New Roman" w:ascii="Verdana" w:hAnsi="Verdana"/>
          <w:b w:val="false"/>
          <w:bCs w:val="false"/>
          <w:iCs/>
          <w:color w:val="auto"/>
          <w:kern w:val="0"/>
          <w:sz w:val="20"/>
          <w:szCs w:val="20"/>
          <w:u w:val="none"/>
          <w:lang w:val="pt-BR" w:eastAsia="pt-BR" w:bidi="ar-SA"/>
        </w:rPr>
        <w:t>Serviços Urbanos e Transporte</w:t>
      </w:r>
    </w:p>
    <w:p>
      <w:pPr>
        <w:pStyle w:val="Normal"/>
        <w:tabs>
          <w:tab w:val="clear" w:pos="708"/>
          <w:tab w:val="left" w:pos="508" w:leader="none"/>
        </w:tabs>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auto"/>
          <w:kern w:val="0"/>
          <w:sz w:val="20"/>
          <w:szCs w:val="20"/>
          <w:u w:val="none"/>
          <w:lang w:val="pt-BR" w:eastAsia="pt-BR" w:bidi="ar-SA"/>
        </w:rPr>
        <w:t>2</w:t>
      </w:r>
      <w:r>
        <w:rPr>
          <w:rFonts w:eastAsia="Times New Roman" w:cs="Times New Roman" w:ascii="Verdana" w:hAnsi="Verdana"/>
          <w:b w:val="false"/>
          <w:bCs w:val="false"/>
          <w:iCs/>
          <w:color w:val="auto"/>
          <w:kern w:val="0"/>
          <w:sz w:val="20"/>
          <w:szCs w:val="20"/>
          <w:u w:val="none"/>
          <w:lang w:val="pt-BR" w:eastAsia="pt-BR" w:bidi="ar-SA"/>
        </w:rPr>
        <w:t>.2.1.</w:t>
      </w:r>
      <w:r>
        <w:rPr>
          <w:rFonts w:eastAsia="Times New Roman" w:cs="Arial" w:ascii="Verdana" w:hAnsi="Verdana"/>
          <w:b w:val="false"/>
          <w:bCs w:val="false"/>
          <w:iCs/>
          <w:color w:val="auto"/>
          <w:kern w:val="0"/>
          <w:sz w:val="20"/>
          <w:szCs w:val="20"/>
          <w:u w:val="none"/>
          <w:lang w:val="pt-BR" w:eastAsia="pt-BR" w:bidi="ar-SA"/>
        </w:rPr>
        <w:t>. ÁREA REQUISITANTE</w:t>
      </w:r>
    </w:p>
    <w:p>
      <w:pPr>
        <w:pStyle w:val="Normal"/>
        <w:tabs>
          <w:tab w:val="clear" w:pos="708"/>
          <w:tab w:val="left" w:pos="508" w:leader="none"/>
        </w:tabs>
        <w:spacing w:lineRule="auto" w:line="240"/>
        <w:ind w:left="0" w:right="0" w:hanging="0"/>
        <w:jc w:val="both"/>
        <w:rPr>
          <w:rFonts w:ascii="Verdana" w:hAnsi="Verdana"/>
          <w:sz w:val="20"/>
          <w:szCs w:val="20"/>
        </w:rPr>
      </w:pPr>
      <w:r>
        <w:rPr>
          <w:rFonts w:eastAsia="Arial" w:cs="Arial" w:ascii="Verdana" w:hAnsi="Verdana"/>
          <w:b w:val="false"/>
          <w:bCs w:val="false"/>
          <w:i w:val="false"/>
          <w:iCs w:val="false"/>
          <w:color w:val="auto"/>
          <w:kern w:val="0"/>
          <w:sz w:val="20"/>
          <w:szCs w:val="20"/>
          <w:u w:val="none"/>
          <w:lang w:val="pt-BR" w:eastAsia="zh-CN" w:bidi="ar-SA"/>
        </w:rPr>
        <w:t>Departamento de Limpeza Pública</w:t>
      </w:r>
    </w:p>
    <w:p>
      <w:pPr>
        <w:pStyle w:val="Nivel2"/>
        <w:spacing w:lineRule="auto" w:line="240" w:before="0" w:after="0"/>
        <w:ind w:left="0" w:right="0" w:hanging="0"/>
        <w:rPr>
          <w:rFonts w:ascii="Verdana" w:hAnsi="Verdana"/>
          <w:sz w:val="20"/>
          <w:szCs w:val="20"/>
        </w:rPr>
      </w:pPr>
      <w:r>
        <w:rPr>
          <w:rFonts w:cs="Times New Roman" w:ascii="Verdana" w:hAnsi="Verdana"/>
          <w:b w:val="false"/>
          <w:bCs w:val="false"/>
          <w:iCs/>
          <w:color w:val="auto"/>
          <w:sz w:val="20"/>
          <w:szCs w:val="20"/>
        </w:rPr>
        <w:t>2</w:t>
      </w:r>
      <w:r>
        <w:rPr>
          <w:rFonts w:cs="Times New Roman" w:ascii="Verdana" w:hAnsi="Verdana"/>
          <w:b w:val="false"/>
          <w:bCs w:val="false"/>
          <w:iCs/>
          <w:color w:val="auto"/>
          <w:sz w:val="20"/>
          <w:szCs w:val="20"/>
        </w:rPr>
        <w:t>.3</w:t>
      </w:r>
      <w:r>
        <w:rPr>
          <w:rFonts w:cs="Times New Roman" w:ascii="Verdana" w:hAnsi="Verdana"/>
          <w:b/>
          <w:bCs/>
          <w:iCs/>
          <w:color w:val="auto"/>
          <w:sz w:val="20"/>
          <w:szCs w:val="20"/>
        </w:rPr>
        <w:t xml:space="preserve">. </w:t>
      </w:r>
      <w:r>
        <w:rPr>
          <w:rFonts w:cs="Times New Roman" w:ascii="Verdana" w:hAnsi="Verdana"/>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Pr>
          <w:rFonts w:cs="Times New Roman" w:ascii="Verdana" w:hAnsi="Verdana"/>
          <w:iCs/>
          <w:color w:val="auto"/>
          <w:sz w:val="20"/>
          <w:szCs w:val="20"/>
        </w:rPr>
        <w:t>força</w:t>
      </w:r>
      <w:r>
        <w:rPr>
          <w:rFonts w:cs="Times New Roman" w:ascii="Verdana" w:hAnsi="Verdana"/>
          <w:bCs/>
          <w:iCs/>
          <w:color w:val="auto"/>
          <w:sz w:val="20"/>
          <w:szCs w:val="20"/>
        </w:rPr>
        <w:t xml:space="preserve"> maior.</w:t>
      </w:r>
    </w:p>
    <w:p>
      <w:pPr>
        <w:pStyle w:val="Nivel2"/>
        <w:spacing w:lineRule="auto" w:line="240" w:before="0" w:after="0"/>
        <w:ind w:left="0" w:right="0" w:hanging="0"/>
        <w:rPr>
          <w:rFonts w:ascii="Verdana" w:hAnsi="Verdana"/>
          <w:sz w:val="20"/>
          <w:szCs w:val="20"/>
        </w:rPr>
      </w:pPr>
      <w:r>
        <w:rPr>
          <w:rFonts w:cs="Times New Roman" w:ascii="Verdana" w:hAnsi="Verdana"/>
          <w:b w:val="false"/>
          <w:bCs w:val="false"/>
          <w:color w:val="auto"/>
          <w:sz w:val="20"/>
          <w:szCs w:val="20"/>
        </w:rPr>
        <w:t>2</w:t>
      </w:r>
      <w:r>
        <w:rPr>
          <w:rFonts w:cs="Times New Roman" w:ascii="Verdana" w:hAnsi="Verdana"/>
          <w:b w:val="false"/>
          <w:bCs w:val="false"/>
          <w:color w:val="auto"/>
          <w:sz w:val="20"/>
          <w:szCs w:val="20"/>
        </w:rPr>
        <w:t>.4.</w:t>
      </w:r>
      <w:r>
        <w:rPr>
          <w:rFonts w:cs="Times New Roman" w:ascii="Verdana" w:hAnsi="Verdana"/>
          <w:bCs/>
          <w:color w:val="auto"/>
          <w:sz w:val="20"/>
          <w:szCs w:val="20"/>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pPr>
        <w:pStyle w:val="ListParagraph"/>
        <w:spacing w:lineRule="auto" w:line="240"/>
        <w:ind w:left="0" w:right="0" w:hanging="0"/>
        <w:jc w:val="both"/>
        <w:rPr>
          <w:rFonts w:ascii="Verdana" w:hAnsi="Verdana"/>
          <w:sz w:val="20"/>
          <w:szCs w:val="20"/>
        </w:rPr>
      </w:pPr>
      <w:r>
        <w:rPr>
          <w:rFonts w:ascii="Verdana" w:hAnsi="Verdana"/>
          <w:b w:val="false"/>
          <w:bCs w:val="false"/>
          <w:sz w:val="20"/>
          <w:szCs w:val="20"/>
        </w:rPr>
        <w:t>2</w:t>
      </w:r>
      <w:r>
        <w:rPr>
          <w:rFonts w:ascii="Verdana" w:hAnsi="Verdana"/>
          <w:b w:val="false"/>
          <w:bCs w:val="false"/>
          <w:sz w:val="20"/>
          <w:szCs w:val="20"/>
        </w:rPr>
        <w:t>.5.</w:t>
      </w:r>
      <w:r>
        <w:rPr>
          <w:rFonts w:ascii="Verdana" w:hAnsi="Verdana"/>
          <w:sz w:val="20"/>
          <w:szCs w:val="20"/>
        </w:rPr>
        <w:t xml:space="preserve"> A conferência </w:t>
      </w:r>
      <w:r>
        <w:rPr>
          <w:rFonts w:eastAsia="Times New Roman" w:cs="Times New Roman" w:ascii="Verdana" w:hAnsi="Verdana"/>
          <w:sz w:val="20"/>
          <w:szCs w:val="20"/>
        </w:rPr>
        <w:t>dos itens</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ivel2"/>
        <w:spacing w:lineRule="auto" w:line="240" w:before="0" w:after="0"/>
        <w:ind w:left="0" w:right="0" w:hanging="0"/>
        <w:rPr>
          <w:rFonts w:ascii="Verdana" w:hAnsi="Verdana"/>
          <w:sz w:val="20"/>
          <w:szCs w:val="20"/>
        </w:rPr>
      </w:pPr>
      <w:r>
        <w:rPr>
          <w:rFonts w:cs="Times New Roman" w:ascii="Verdana" w:hAnsi="Verdana"/>
          <w:b w:val="false"/>
          <w:bCs w:val="false"/>
          <w:color w:val="auto"/>
          <w:sz w:val="20"/>
          <w:szCs w:val="20"/>
        </w:rPr>
        <w:t>2</w:t>
      </w:r>
      <w:r>
        <w:rPr>
          <w:rFonts w:cs="Times New Roman" w:ascii="Verdana" w:hAnsi="Verdana"/>
          <w:b w:val="false"/>
          <w:bCs w:val="false"/>
          <w:color w:val="auto"/>
          <w:sz w:val="20"/>
          <w:szCs w:val="20"/>
        </w:rPr>
        <w:t>.6.</w:t>
      </w:r>
      <w:r>
        <w:rPr>
          <w:rFonts w:cs="Times New Roman" w:ascii="Verdana" w:hAnsi="Verdana"/>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40"/>
        <w:ind w:left="0" w:right="0" w:hanging="0"/>
        <w:jc w:val="both"/>
        <w:rPr>
          <w:rFonts w:ascii="Verdana" w:hAnsi="Verdana"/>
          <w:sz w:val="20"/>
          <w:szCs w:val="20"/>
        </w:rPr>
      </w:pPr>
      <w:r>
        <w:rPr>
          <w:rFonts w:ascii="Verdana" w:hAnsi="Verdana"/>
          <w:b w:val="false"/>
          <w:bCs w:val="false"/>
          <w:sz w:val="20"/>
          <w:szCs w:val="20"/>
        </w:rPr>
        <w:t>2</w:t>
      </w:r>
      <w:r>
        <w:rPr>
          <w:rFonts w:ascii="Verdana" w:hAnsi="Verdana"/>
          <w:b w:val="false"/>
          <w:bCs w:val="false"/>
          <w:sz w:val="20"/>
          <w:szCs w:val="20"/>
        </w:rPr>
        <w:t>.7.</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ivel2"/>
        <w:spacing w:lineRule="auto" w:line="240" w:before="0" w:after="0"/>
        <w:ind w:left="0" w:right="0" w:hanging="0"/>
        <w:rPr>
          <w:rFonts w:ascii="Verdana" w:hAnsi="Verdana"/>
          <w:sz w:val="20"/>
          <w:szCs w:val="20"/>
        </w:rPr>
      </w:pPr>
      <w:r>
        <w:rPr>
          <w:rFonts w:cs="Times New Roman" w:ascii="Verdana" w:hAnsi="Verdana"/>
          <w:b w:val="false"/>
          <w:bCs w:val="false"/>
          <w:iCs/>
          <w:color w:val="auto"/>
          <w:sz w:val="20"/>
          <w:szCs w:val="20"/>
        </w:rPr>
        <w:t>2</w:t>
      </w:r>
      <w:r>
        <w:rPr>
          <w:rFonts w:cs="Times New Roman" w:ascii="Verdana" w:hAnsi="Verdana"/>
          <w:b w:val="false"/>
          <w:bCs w:val="false"/>
          <w:iCs/>
          <w:color w:val="auto"/>
          <w:sz w:val="20"/>
          <w:szCs w:val="20"/>
        </w:rPr>
        <w:t>.8. No caso de recusa da entrega do produto pelo fornecedor, a Administração Pública adotará as providências cabíveis, de cordo com a legislação aplicável, visando sanar problemas por ventura ocorridos.</w:t>
      </w:r>
    </w:p>
    <w:p>
      <w:pPr>
        <w:pStyle w:val="Normal"/>
        <w:spacing w:lineRule="auto" w:line="240"/>
        <w:jc w:val="both"/>
        <w:rPr/>
      </w:pPr>
      <w:r>
        <w:rPr>
          <w:rStyle w:val="InternetLink1"/>
          <w:rFonts w:cs="Times New Roman" w:ascii="Verdana" w:hAnsi="Verdana"/>
          <w:b w:val="false"/>
          <w:bCs w:val="false"/>
          <w:iCs/>
          <w:color w:val="auto"/>
          <w:sz w:val="20"/>
          <w:szCs w:val="20"/>
          <w:u w:val="none"/>
        </w:rPr>
        <w:t>2</w:t>
      </w:r>
      <w:r>
        <w:rPr>
          <w:rStyle w:val="InternetLink1"/>
          <w:rFonts w:cs="Times New Roman" w:ascii="Verdana" w:hAnsi="Verdana"/>
          <w:b w:val="false"/>
          <w:bCs w:val="false"/>
          <w:iCs/>
          <w:color w:val="auto"/>
          <w:sz w:val="20"/>
          <w:szCs w:val="20"/>
          <w:u w:val="none"/>
        </w:rPr>
        <w:t>.9. Não se verifica contratações correlatas ou interdependentes.</w:t>
      </w:r>
    </w:p>
    <w:p>
      <w:pPr>
        <w:pStyle w:val="Normal"/>
        <w:spacing w:lineRule="auto" w:line="240"/>
        <w:jc w:val="both"/>
        <w:rPr>
          <w:rFonts w:ascii="Verdana" w:hAnsi="Verdana"/>
          <w:sz w:val="20"/>
          <w:szCs w:val="20"/>
        </w:rPr>
      </w:pPr>
      <w:r>
        <w:rPr>
          <w:rFonts w:ascii="Verdana" w:hAnsi="Verdana"/>
          <w:b/>
          <w:bCs/>
          <w:sz w:val="20"/>
          <w:szCs w:val="20"/>
        </w:rPr>
        <w:t>2.10 .</w:t>
      </w:r>
      <w:r>
        <w:rPr>
          <w:rFonts w:ascii="Verdana" w:hAnsi="Verdana"/>
          <w:sz w:val="20"/>
          <w:szCs w:val="20"/>
        </w:rPr>
        <w:t xml:space="preserve"> </w:t>
      </w:r>
      <w:r>
        <w:rPr>
          <w:rFonts w:ascii="Verdana" w:hAnsi="Verdana"/>
          <w:b/>
          <w:bCs/>
          <w:sz w:val="20"/>
          <w:szCs w:val="20"/>
        </w:rPr>
        <w:t>Rotinas De Fiscalização Contratual</w:t>
      </w:r>
    </w:p>
    <w:p>
      <w:pPr>
        <w:pStyle w:val="Normal"/>
        <w:spacing w:lineRule="auto" w:line="240"/>
        <w:jc w:val="both"/>
        <w:rPr>
          <w:rFonts w:ascii="Verdana" w:hAnsi="Verdana"/>
          <w:sz w:val="20"/>
          <w:szCs w:val="20"/>
        </w:rPr>
      </w:pPr>
      <w:r>
        <w:rPr>
          <w:rFonts w:ascii="Verdana" w:hAnsi="Verdana"/>
          <w:b/>
          <w:bCs/>
          <w:sz w:val="20"/>
          <w:szCs w:val="20"/>
        </w:rPr>
        <w:t xml:space="preserve">2.10.1 </w:t>
      </w:r>
      <w:r>
        <w:rPr>
          <w:rFonts w:cs="Times New Roman" w:ascii="Verdana" w:hAnsi="Verdana"/>
          <w:b/>
          <w:bCs/>
          <w:sz w:val="20"/>
          <w:szCs w:val="20"/>
        </w:rPr>
        <w:t>O contrato será substituído pela nota de empenho e autorização de fornecimento/execução.</w:t>
      </w:r>
    </w:p>
    <w:p>
      <w:pPr>
        <w:pStyle w:val="Normal"/>
        <w:spacing w:lineRule="auto" w:line="240"/>
        <w:jc w:val="both"/>
        <w:rPr>
          <w:rFonts w:ascii="Verdana" w:hAnsi="Verdana"/>
          <w:sz w:val="20"/>
          <w:szCs w:val="20"/>
        </w:rPr>
      </w:pPr>
      <w:r>
        <w:rPr>
          <w:rFonts w:ascii="Verdana" w:hAnsi="Verdana"/>
          <w:sz w:val="20"/>
          <w:szCs w:val="20"/>
        </w:rPr>
        <w:t xml:space="preserve">2.10.2 A entrega </w:t>
      </w:r>
      <w:r>
        <w:rPr>
          <w:rFonts w:eastAsia="Times New Roman" w:cs="Times New Roman" w:ascii="Verdana" w:hAnsi="Verdana"/>
          <w:sz w:val="20"/>
          <w:szCs w:val="20"/>
        </w:rPr>
        <w:t>do item</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ormal"/>
        <w:spacing w:lineRule="auto" w:line="240"/>
        <w:jc w:val="both"/>
        <w:rPr>
          <w:rFonts w:ascii="Verdana" w:hAnsi="Verdana"/>
          <w:sz w:val="20"/>
          <w:szCs w:val="20"/>
        </w:rPr>
      </w:pPr>
      <w:r>
        <w:rPr>
          <w:rFonts w:ascii="Verdana" w:hAnsi="Verdana"/>
          <w:sz w:val="20"/>
          <w:szCs w:val="20"/>
        </w:rPr>
        <w:t>2.10.3 O contratado será obrigado a reparar, corrigir, remover, reconstruir ou substituir, a suas expensas, no total ou em parte, o objeto da aquisição em que se verificarem vícios, defeitos ou incorreções resultantes de sua execução ou de materiais nela empregados.</w:t>
      </w:r>
    </w:p>
    <w:p>
      <w:pPr>
        <w:pStyle w:val="Normal"/>
        <w:spacing w:lineRule="auto" w:line="240"/>
        <w:jc w:val="both"/>
        <w:rPr>
          <w:rFonts w:ascii="Verdana" w:hAnsi="Verdana"/>
          <w:sz w:val="20"/>
          <w:szCs w:val="20"/>
        </w:rPr>
      </w:pPr>
      <w:r>
        <w:rPr>
          <w:rFonts w:ascii="Verdana" w:hAnsi="Verdana"/>
          <w:sz w:val="20"/>
          <w:szCs w:val="20"/>
        </w:rPr>
        <w:t>2.10.4 Somente o contratado será responsável pelos encargos trabalhistas, previdenciários, fiscais e comerciais resultantes da execução dos serviços.</w:t>
      </w:r>
    </w:p>
    <w:p>
      <w:pPr>
        <w:pStyle w:val="Normal"/>
        <w:spacing w:lineRule="auto" w:line="240"/>
        <w:jc w:val="both"/>
        <w:rPr>
          <w:rFonts w:ascii="Verdana" w:hAnsi="Verdana"/>
          <w:sz w:val="20"/>
          <w:szCs w:val="20"/>
        </w:rPr>
      </w:pPr>
      <w:r>
        <w:rPr>
          <w:rFonts w:ascii="Verdana" w:hAnsi="Verdana"/>
          <w:sz w:val="20"/>
          <w:szCs w:val="20"/>
        </w:rPr>
        <w:t>2.10.5 A inadimplência do contratado em relação aos encargos trabalhistas, fiscais e comerciais não transferirá à Administração a responsabilidade pelo seu pagamento e não poderá onerar o objeto do contrato.</w:t>
      </w:r>
    </w:p>
    <w:p>
      <w:pPr>
        <w:pStyle w:val="Normal"/>
        <w:spacing w:lineRule="auto" w:line="240"/>
        <w:jc w:val="both"/>
        <w:rPr>
          <w:rFonts w:ascii="Verdana" w:hAnsi="Verdana"/>
          <w:sz w:val="20"/>
          <w:szCs w:val="20"/>
        </w:rPr>
      </w:pPr>
      <w:r>
        <w:rPr>
          <w:rFonts w:ascii="Verdana" w:hAnsi="Verdana"/>
          <w:sz w:val="20"/>
          <w:szCs w:val="20"/>
        </w:rPr>
        <w:t xml:space="preserve">2.10.6 </w:t>
      </w:r>
      <w:r>
        <w:rPr>
          <w:rFonts w:cs="Times New Roman" w:ascii="Verdana" w:hAnsi="Verdana"/>
          <w:sz w:val="20"/>
          <w:szCs w:val="20"/>
        </w:rPr>
        <w:t>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pPr>
        <w:pStyle w:val="Normal"/>
        <w:spacing w:lineRule="auto" w:line="276"/>
        <w:jc w:val="both"/>
        <w:rPr>
          <w:rFonts w:cs="Arial"/>
          <w:iCs/>
        </w:rPr>
      </w:pPr>
      <w:r>
        <w:rPr>
          <w:rFonts w:cs="Arial"/>
          <w:iCs/>
        </w:rPr>
      </w:r>
    </w:p>
    <w:p>
      <w:pPr>
        <w:pStyle w:val="Normal"/>
        <w:spacing w:lineRule="auto" w:line="276"/>
        <w:jc w:val="both"/>
        <w:rPr>
          <w:rFonts w:ascii="Verdana" w:hAnsi="Verdana" w:cs="Verdana"/>
          <w:b/>
          <w:u w:val="single"/>
        </w:rPr>
      </w:pPr>
      <w:r>
        <w:rPr>
          <w:rFonts w:cs="Verdana" w:ascii="Verdana" w:hAnsi="Verdana"/>
          <w:b/>
          <w:u w:val="single"/>
        </w:rPr>
        <w:t>CLÁUSULA TERCEIRA – PAGAMENTO</w:t>
      </w:r>
    </w:p>
    <w:p>
      <w:pPr>
        <w:pStyle w:val="ListParagraph"/>
        <w:tabs>
          <w:tab w:val="clear" w:pos="708"/>
          <w:tab w:val="left" w:pos="434" w:leader="none"/>
        </w:tabs>
        <w:overflowPunct w:val="false"/>
        <w:spacing w:before="0" w:after="0"/>
        <w:ind w:left="0" w:hanging="0"/>
        <w:contextualSpacing/>
        <w:jc w:val="both"/>
        <w:textAlignment w:val="auto"/>
        <w:rPr/>
      </w:pPr>
      <w:r>
        <w:rPr>
          <w:rFonts w:cs="Verdana" w:ascii="Verdana" w:hAnsi="Verdana"/>
          <w:b/>
          <w:sz w:val="20"/>
          <w:szCs w:val="20"/>
        </w:rPr>
        <w:t>3.1 –</w:t>
      </w:r>
      <w:r>
        <w:rPr>
          <w:rFonts w:eastAsia="Verdana" w:cs="Verdana" w:ascii="Verdana" w:hAnsi="Verdana"/>
          <w:sz w:val="20"/>
          <w:szCs w:val="20"/>
        </w:rPr>
        <w:t xml:space="preserve"> </w:t>
      </w:r>
      <w:r>
        <w:rPr>
          <w:rFonts w:eastAsia="Verdana" w:cs="Verdana" w:ascii="Verdana" w:hAnsi="Verdana"/>
          <w:sz w:val="20"/>
          <w:szCs w:val="20"/>
          <w:lang w:eastAsia="en-US"/>
        </w:rPr>
        <w:t xml:space="preserve">Recebida a Nota Fiscal ou documento de cobrança equivalente, correrá o prazo de </w:t>
      </w:r>
      <w:r>
        <w:rPr>
          <w:rFonts w:eastAsia="Times New Roman" w:cs="Times New Roman" w:ascii="Verdana" w:hAnsi="Verdana"/>
          <w:sz w:val="20"/>
          <w:szCs w:val="20"/>
          <w:lang w:eastAsia="en-US"/>
        </w:rPr>
        <w:t>(30) trinta</w:t>
      </w:r>
      <w:r>
        <w:rPr>
          <w:rFonts w:eastAsia="Verdana" w:cs="Verdana" w:ascii="Verdana" w:hAnsi="Verdana"/>
          <w:sz w:val="20"/>
          <w:szCs w:val="20"/>
          <w:lang w:eastAsia="en-US"/>
        </w:rPr>
        <w:t xml:space="preserve"> dias úteis para fins de liquidação, na forma desta seção, prorrogáveis por igual período.</w:t>
      </w:r>
    </w:p>
    <w:p>
      <w:pPr>
        <w:pStyle w:val="Normal"/>
        <w:spacing w:lineRule="auto" w:line="276"/>
        <w:jc w:val="both"/>
        <w:rPr/>
      </w:pPr>
      <w:r>
        <w:rPr>
          <w:rFonts w:ascii="Verdana" w:hAnsi="Verdana"/>
          <w:b/>
          <w:bCs/>
        </w:rPr>
        <w:t>3.2</w:t>
      </w:r>
      <w:r>
        <w:rPr>
          <w:rFonts w:ascii="Verdana" w:hAnsi="Verdana"/>
        </w:rPr>
        <w:t xml:space="preserve">. O prazo de que trata o item anterior será reduzido à metade, mantendo-se a possibilidade de prorrogação, no caso de contratações decorrentes de despesas cujos valores não ultrapassem o limite de que trata o </w:t>
      </w:r>
      <w:r>
        <w:fldChar w:fldCharType="begin"/>
      </w:r>
      <w:r>
        <w:rPr>
          <w:rFonts w:ascii="Verdana" w:hAnsi="Verdana"/>
          <w:color w:val="000000"/>
        </w:rPr>
        <w:instrText xml:space="preserve"> HYPERLINK "http://www.planalto.gov.br/ccivil_03/_ato2019-2022/2021/lei/L14133.htm" \l "art75"</w:instrText>
      </w:r>
      <w:r>
        <w:rPr>
          <w:rFonts w:ascii="Verdana" w:hAnsi="Verdana"/>
          <w:color w:val="000000"/>
        </w:rPr>
        <w:fldChar w:fldCharType="separate"/>
      </w:r>
      <w:r>
        <w:rPr>
          <w:rFonts w:ascii="Verdana" w:hAnsi="Verdana"/>
          <w:color w:val="000000"/>
        </w:rPr>
        <w:t>inciso II do art. 75 da Lei nº 14.133, de 2021</w:t>
      </w:r>
      <w:r>
        <w:rPr>
          <w:rFonts w:ascii="Verdana" w:hAnsi="Verdana"/>
          <w:color w:val="000000"/>
        </w:rPr>
        <w:fldChar w:fldCharType="end"/>
      </w:r>
      <w:r>
        <w:rPr>
          <w:rFonts w:ascii="Verdana" w:hAnsi="Verdana"/>
          <w:color w:val="000000"/>
        </w:rPr>
        <w:t>.</w:t>
      </w:r>
    </w:p>
    <w:p>
      <w:pPr>
        <w:pStyle w:val="Normal"/>
        <w:spacing w:lineRule="auto" w:line="276"/>
        <w:jc w:val="both"/>
        <w:rPr/>
      </w:pPr>
      <w:r>
        <w:rPr>
          <w:rFonts w:ascii="Verdana" w:hAnsi="Verdana"/>
          <w:b/>
          <w:bCs/>
        </w:rPr>
        <w:t>3.3</w:t>
      </w:r>
      <w:r>
        <w:rPr>
          <w:rFonts w:ascii="Verdana" w:hAnsi="Verdana"/>
        </w:rPr>
        <w:t xml:space="preserve">. Para fins de liquidação, o setor competente deverá verificar se a nota fiscal ou instrumento de cobrança equivalente apresentado expressa os elementos necessários e essenciais do documento, tais como: </w:t>
      </w:r>
    </w:p>
    <w:p>
      <w:pPr>
        <w:pStyle w:val="Normal"/>
        <w:numPr>
          <w:ilvl w:val="0"/>
          <w:numId w:val="6"/>
        </w:numPr>
        <w:tabs>
          <w:tab w:val="clear" w:pos="708"/>
          <w:tab w:val="left" w:pos="1185" w:leader="none"/>
          <w:tab w:val="left" w:pos="1530" w:leader="none"/>
        </w:tabs>
        <w:spacing w:lineRule="auto" w:line="276"/>
        <w:ind w:left="454" w:hanging="0"/>
        <w:jc w:val="both"/>
        <w:rPr>
          <w:rFonts w:ascii="Verdana" w:hAnsi="Verdana"/>
        </w:rPr>
      </w:pPr>
      <w:r>
        <w:rPr>
          <w:rFonts w:ascii="Verdana" w:hAnsi="Verdana"/>
        </w:rPr>
        <w:t>O prazo de validade;</w:t>
      </w:r>
    </w:p>
    <w:p>
      <w:pPr>
        <w:pStyle w:val="Normal"/>
        <w:numPr>
          <w:ilvl w:val="0"/>
          <w:numId w:val="6"/>
        </w:numPr>
        <w:tabs>
          <w:tab w:val="clear" w:pos="708"/>
          <w:tab w:val="left" w:pos="1185" w:leader="none"/>
          <w:tab w:val="left" w:pos="1530" w:leader="none"/>
        </w:tabs>
        <w:spacing w:lineRule="auto" w:line="276"/>
        <w:ind w:left="454" w:hanging="0"/>
        <w:jc w:val="both"/>
        <w:rPr>
          <w:rFonts w:ascii="Verdana" w:hAnsi="Verdana"/>
        </w:rPr>
      </w:pPr>
      <w:r>
        <w:rPr>
          <w:rFonts w:ascii="Verdana" w:hAnsi="Verdana"/>
        </w:rPr>
        <w:t xml:space="preserve">A data da emissão; </w:t>
      </w:r>
    </w:p>
    <w:p>
      <w:pPr>
        <w:pStyle w:val="Normal"/>
        <w:numPr>
          <w:ilvl w:val="0"/>
          <w:numId w:val="6"/>
        </w:numPr>
        <w:tabs>
          <w:tab w:val="clear" w:pos="708"/>
          <w:tab w:val="left" w:pos="1185" w:leader="none"/>
          <w:tab w:val="left" w:pos="1530" w:leader="none"/>
        </w:tabs>
        <w:spacing w:lineRule="auto" w:line="276"/>
        <w:ind w:left="454" w:hanging="0"/>
        <w:jc w:val="both"/>
        <w:rPr>
          <w:rFonts w:ascii="Verdana" w:hAnsi="Verdana"/>
        </w:rPr>
      </w:pPr>
      <w:r>
        <w:rPr>
          <w:rFonts w:ascii="Verdana" w:hAnsi="Verdana"/>
        </w:rPr>
        <w:t xml:space="preserve">Os dados do contrato e do órgão contratante; </w:t>
      </w:r>
    </w:p>
    <w:p>
      <w:pPr>
        <w:pStyle w:val="Normal"/>
        <w:numPr>
          <w:ilvl w:val="0"/>
          <w:numId w:val="6"/>
        </w:numPr>
        <w:tabs>
          <w:tab w:val="clear" w:pos="708"/>
          <w:tab w:val="left" w:pos="1185" w:leader="none"/>
          <w:tab w:val="left" w:pos="1530" w:leader="none"/>
        </w:tabs>
        <w:spacing w:lineRule="auto" w:line="276"/>
        <w:ind w:left="454" w:hanging="0"/>
        <w:jc w:val="both"/>
        <w:rPr>
          <w:rFonts w:ascii="Verdana" w:hAnsi="Verdana"/>
        </w:rPr>
      </w:pPr>
      <w:r>
        <w:rPr>
          <w:rFonts w:ascii="Verdana" w:hAnsi="Verdana"/>
        </w:rPr>
        <w:t xml:space="preserve">O período respectivo de execução do contrato; </w:t>
      </w:r>
    </w:p>
    <w:p>
      <w:pPr>
        <w:pStyle w:val="Normal"/>
        <w:numPr>
          <w:ilvl w:val="0"/>
          <w:numId w:val="6"/>
        </w:numPr>
        <w:tabs>
          <w:tab w:val="clear" w:pos="708"/>
          <w:tab w:val="left" w:pos="1185" w:leader="none"/>
          <w:tab w:val="left" w:pos="1530" w:leader="none"/>
        </w:tabs>
        <w:spacing w:lineRule="auto" w:line="276"/>
        <w:ind w:left="454" w:hanging="0"/>
        <w:jc w:val="both"/>
        <w:rPr>
          <w:rFonts w:ascii="Verdana" w:hAnsi="Verdana"/>
        </w:rPr>
      </w:pPr>
      <w:r>
        <w:rPr>
          <w:rFonts w:ascii="Verdana" w:hAnsi="Verdana"/>
        </w:rPr>
        <w:t xml:space="preserve">O valor a pagar; e </w:t>
      </w:r>
    </w:p>
    <w:p>
      <w:pPr>
        <w:pStyle w:val="Normal"/>
        <w:numPr>
          <w:ilvl w:val="0"/>
          <w:numId w:val="6"/>
        </w:numPr>
        <w:tabs>
          <w:tab w:val="clear" w:pos="708"/>
          <w:tab w:val="left" w:pos="1185" w:leader="none"/>
          <w:tab w:val="left" w:pos="1530" w:leader="none"/>
        </w:tabs>
        <w:spacing w:lineRule="auto" w:line="276"/>
        <w:ind w:left="454" w:hanging="0"/>
        <w:jc w:val="both"/>
        <w:rPr>
          <w:rFonts w:ascii="Verdana" w:hAnsi="Verdana"/>
        </w:rPr>
      </w:pPr>
      <w:r>
        <w:rPr>
          <w:rFonts w:ascii="Verdana" w:hAnsi="Verdana"/>
        </w:rPr>
        <w:t>Eventual destaque do valor de retenções tributárias cabíveis.</w:t>
      </w:r>
    </w:p>
    <w:p>
      <w:pPr>
        <w:pStyle w:val="Normal"/>
        <w:tabs>
          <w:tab w:val="clear" w:pos="708"/>
          <w:tab w:val="left" w:pos="0" w:leader="none"/>
          <w:tab w:val="left" w:pos="563" w:leader="none"/>
        </w:tabs>
        <w:spacing w:lineRule="auto" w:line="276"/>
        <w:jc w:val="both"/>
        <w:rPr/>
      </w:pPr>
      <w:r>
        <w:rPr>
          <w:rFonts w:ascii="Verdana" w:hAnsi="Verdana"/>
          <w:b/>
          <w:bCs/>
        </w:rPr>
        <w:t>3.4</w:t>
      </w:r>
      <w:r>
        <w:rPr>
          <w:rFonts w:ascii="Verdana" w:hAnsi="Verdana"/>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jc w:val="both"/>
        <w:rPr/>
      </w:pPr>
      <w:r>
        <w:rPr>
          <w:rFonts w:ascii="Verdana" w:hAnsi="Verdana"/>
          <w:b/>
          <w:bCs/>
        </w:rPr>
        <w:t>3.5</w:t>
      </w:r>
      <w:r>
        <w:rPr>
          <w:rFonts w:ascii="Verdana" w:hAnsi="Verdana"/>
        </w:rPr>
        <w:t>. A</w:t>
      </w:r>
      <w:r>
        <w:rPr>
          <w:rFonts w:ascii="Verdana" w:hAnsi="Verdana"/>
          <w:lang w:eastAsia="en-US"/>
        </w:rPr>
        <w:t xml:space="preserve"> nota fiscal ou instrumento de cobrança equivalente deverá ser obrigatoriamente acompanhado da comprovação da regularidade fiscal</w:t>
      </w:r>
      <w:r>
        <w:rPr>
          <w:rStyle w:val="InternetLink"/>
          <w:rFonts w:ascii="Verdana" w:hAnsi="Verdana"/>
          <w:u w:val="none"/>
          <w:lang w:eastAsia="en-US"/>
        </w:rPr>
        <w:t>.</w:t>
      </w:r>
    </w:p>
    <w:p>
      <w:pPr>
        <w:pStyle w:val="Normal"/>
        <w:spacing w:lineRule="auto" w:line="276"/>
        <w:jc w:val="both"/>
        <w:rPr>
          <w:rFonts w:ascii="Verdana" w:hAnsi="Verdana"/>
        </w:rPr>
      </w:pPr>
      <w:r>
        <w:rPr>
          <w:rFonts w:ascii="Verdana" w:hAnsi="Verdana"/>
        </w:rPr>
        <w:t>3.6. O pagamento será efetuado no prazo de até 30 (trinta) dias úteis contados da finalização da liquidação da despesa.</w:t>
      </w:r>
    </w:p>
    <w:p>
      <w:pPr>
        <w:pStyle w:val="Normal"/>
        <w:spacing w:lineRule="auto" w:line="276"/>
        <w:jc w:val="both"/>
        <w:rPr/>
      </w:pPr>
      <w:r>
        <w:rPr>
          <w:rFonts w:ascii="Verdana" w:hAnsi="Verdana"/>
          <w:b/>
          <w:bCs/>
        </w:rPr>
        <w:t>3.7</w:t>
      </w:r>
      <w:r>
        <w:rPr>
          <w:rFonts w:ascii="Verdana" w:hAnsi="Verdana"/>
        </w:rPr>
        <w:t>. O pagamento será realizado por meio de ordem bancária, para crédito em banco, agência e conta corrente indicados pelo contratado.</w:t>
      </w:r>
    </w:p>
    <w:p>
      <w:pPr>
        <w:pStyle w:val="Normal"/>
        <w:spacing w:lineRule="auto" w:line="276"/>
        <w:jc w:val="both"/>
        <w:rPr/>
      </w:pPr>
      <w:r>
        <w:rPr>
          <w:rFonts w:ascii="Verdana" w:hAnsi="Verdana"/>
          <w:b/>
          <w:bCs/>
        </w:rPr>
        <w:t>3.8</w:t>
      </w:r>
      <w:r>
        <w:rPr>
          <w:rFonts w:ascii="Verdana" w:hAnsi="Verdana"/>
        </w:rPr>
        <w:t>. Será considerada data do pagamento o dia em que constar como emitida a ordem bancária para pagamento.</w:t>
      </w:r>
    </w:p>
    <w:p>
      <w:pPr>
        <w:pStyle w:val="Normal"/>
        <w:spacing w:lineRule="auto" w:line="276"/>
        <w:jc w:val="both"/>
        <w:rPr/>
      </w:pPr>
      <w:r>
        <w:rPr>
          <w:rFonts w:ascii="Verdana" w:hAnsi="Verdana"/>
          <w:b/>
          <w:bCs/>
        </w:rPr>
        <w:t>3.9</w:t>
      </w:r>
      <w:r>
        <w:rPr>
          <w:rFonts w:ascii="Verdana" w:hAnsi="Verdana"/>
        </w:rPr>
        <w:t>. Quando do pagamento, será efetuada a retenção tributária prevista na legislação aplicável.</w:t>
      </w:r>
    </w:p>
    <w:p>
      <w:pPr>
        <w:pStyle w:val="Normal"/>
        <w:spacing w:lineRule="auto" w:line="276"/>
        <w:jc w:val="both"/>
        <w:rPr/>
      </w:pPr>
      <w:r>
        <w:rPr>
          <w:rFonts w:ascii="Verdana" w:hAnsi="Verdana"/>
          <w:b/>
          <w:bCs/>
          <w:lang w:eastAsia="en-US"/>
        </w:rPr>
        <w:t>3.10</w:t>
      </w:r>
      <w:r>
        <w:rPr>
          <w:rFonts w:ascii="Verdana" w:hAnsi="Verdana"/>
          <w:lang w:eastAsia="en-US"/>
        </w:rPr>
        <w:t xml:space="preserve">. O contratado regularmente optante pelo Simples Nacional, nos termos da </w:t>
      </w:r>
      <w:hyperlink r:id="rId2">
        <w:r>
          <w:rPr>
            <w:rFonts w:ascii="Verdana" w:hAnsi="Verdana"/>
            <w:lang w:eastAsia="en-US"/>
          </w:rPr>
          <w:t>Lei Complementar nº 123, de 2006</w:t>
        </w:r>
      </w:hyperlink>
      <w:r>
        <w:rPr>
          <w:rFonts w:ascii="Verdana" w:hAnsi="Verdan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jc w:val="both"/>
        <w:rPr/>
      </w:pPr>
      <w:r>
        <w:rPr>
          <w:rFonts w:ascii="Verdana" w:hAnsi="Verdana"/>
          <w:b/>
          <w:bCs/>
          <w:lang w:eastAsia="en-US"/>
        </w:rPr>
        <w:t>3.11</w:t>
      </w:r>
      <w:r>
        <w:rPr>
          <w:rFonts w:ascii="Verdana" w:hAnsi="Verdana"/>
          <w:lang w:eastAsia="en-US"/>
        </w:rPr>
        <w:t>.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ListParagraph"/>
        <w:tabs>
          <w:tab w:val="clear" w:pos="708"/>
          <w:tab w:val="left" w:pos="518" w:leader="none"/>
        </w:tabs>
        <w:spacing w:before="0" w:after="0"/>
        <w:ind w:left="0" w:hanging="0"/>
        <w:contextualSpacing w:val="false"/>
        <w:jc w:val="both"/>
        <w:rPr/>
      </w:pPr>
      <w:r>
        <w:rPr>
          <w:rFonts w:ascii="Verdana" w:hAnsi="Verdana"/>
          <w:b/>
          <w:bCs/>
          <w:color w:val="000000"/>
          <w:sz w:val="20"/>
          <w:szCs w:val="20"/>
        </w:rPr>
        <w:t>13.12</w:t>
      </w:r>
      <w:r>
        <w:rPr>
          <w:rFonts w:ascii="Verdana" w:hAnsi="Verdana"/>
          <w:color w:val="000000"/>
          <w:sz w:val="20"/>
          <w:szCs w:val="20"/>
        </w:rPr>
        <w:t xml:space="preserve">. </w:t>
      </w:r>
      <w:r>
        <w:rPr>
          <w:rFonts w:ascii="Verdana" w:hAnsi="Verdana"/>
          <w:sz w:val="20"/>
          <w:szCs w:val="20"/>
        </w:rPr>
        <w:t>Após o prazo acima referenciado, será paga multa financeira nos seguintes termos:</w:t>
      </w:r>
    </w:p>
    <w:p>
      <w:pPr>
        <w:pStyle w:val="ListParagraph"/>
        <w:tabs>
          <w:tab w:val="clear" w:pos="708"/>
          <w:tab w:val="left" w:pos="518" w:leader="none"/>
        </w:tabs>
        <w:spacing w:before="0" w:after="0"/>
        <w:ind w:left="0" w:hanging="0"/>
        <w:contextualSpacing w:val="false"/>
        <w:jc w:val="center"/>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ListParagraph"/>
        <w:tabs>
          <w:tab w:val="clear" w:pos="708"/>
          <w:tab w:val="left" w:pos="518" w:leader="none"/>
        </w:tabs>
        <w:spacing w:before="0" w:after="0"/>
        <w:ind w:left="0" w:hanging="0"/>
        <w:contextualSpacing w:val="false"/>
        <w:jc w:val="center"/>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76"/>
        <w:rPr>
          <w:rFonts w:ascii="Verdana" w:hAnsi="Verdana" w:cs="Arial"/>
          <w:color w:val="000000"/>
        </w:rPr>
      </w:pPr>
      <w:r>
        <w:rPr>
          <w:rFonts w:cs="Arial" w:ascii="Verdana" w:hAnsi="Verdana"/>
          <w:color w:val="000000"/>
        </w:rPr>
        <w:t xml:space="preserve">Onde: </w:t>
      </w:r>
    </w:p>
    <w:p>
      <w:pPr>
        <w:pStyle w:val="Normal"/>
        <w:suppressAutoHyphens w:val="false"/>
        <w:spacing w:lineRule="auto" w:line="276"/>
        <w:rPr>
          <w:rFonts w:ascii="Verdana" w:hAnsi="Verdana" w:cs="Arial"/>
          <w:color w:val="000000"/>
        </w:rPr>
      </w:pPr>
      <w:r>
        <w:rPr>
          <w:rFonts w:cs="Arial" w:ascii="Verdana" w:hAnsi="Verdana"/>
          <w:color w:val="000000"/>
        </w:rPr>
        <w:t xml:space="preserve">VM = Valor da Multa Financeira; </w:t>
      </w:r>
    </w:p>
    <w:p>
      <w:pPr>
        <w:pStyle w:val="Normal"/>
        <w:suppressAutoHyphens w:val="false"/>
        <w:spacing w:lineRule="auto" w:line="276"/>
        <w:rPr>
          <w:rFonts w:ascii="Verdana" w:hAnsi="Verdana" w:cs="Arial"/>
          <w:color w:val="000000"/>
        </w:rPr>
      </w:pPr>
      <w:r>
        <w:rPr>
          <w:rFonts w:cs="Arial" w:ascii="Verdana" w:hAnsi="Verdana"/>
          <w:color w:val="000000"/>
        </w:rPr>
        <w:t xml:space="preserve">VF = Valor da Nota Fiscal; </w:t>
      </w:r>
    </w:p>
    <w:p>
      <w:pPr>
        <w:pStyle w:val="ListParagraph"/>
        <w:tabs>
          <w:tab w:val="clear" w:pos="708"/>
          <w:tab w:val="left" w:pos="518" w:leader="none"/>
        </w:tabs>
        <w:spacing w:before="0" w:after="0"/>
        <w:ind w:left="0" w:hanging="0"/>
        <w:contextualSpacing w:val="false"/>
        <w:rPr>
          <w:rFonts w:ascii="Verdana" w:hAnsi="Verdana" w:eastAsia="Times New Roman" w:cs="Arial"/>
          <w:color w:val="000000"/>
          <w:sz w:val="20"/>
          <w:szCs w:val="20"/>
        </w:rPr>
      </w:pPr>
      <w:r>
        <w:rPr>
          <w:rFonts w:eastAsia="Times New Roman" w:cs="Arial" w:ascii="Verdana" w:hAnsi="Verdana"/>
          <w:color w:val="000000"/>
          <w:sz w:val="20"/>
          <w:szCs w:val="20"/>
        </w:rPr>
        <w:t>ND = Número de dias em atraso.</w:t>
      </w:r>
    </w:p>
    <w:p>
      <w:pPr>
        <w:pStyle w:val="ListParagraph"/>
        <w:tabs>
          <w:tab w:val="clear" w:pos="708"/>
          <w:tab w:val="left" w:pos="518" w:leader="none"/>
        </w:tabs>
        <w:spacing w:before="0" w:after="0"/>
        <w:ind w:left="0" w:hanging="0"/>
        <w:contextualSpacing w:val="false"/>
        <w:jc w:val="both"/>
        <w:rPr/>
      </w:pPr>
      <w:r>
        <w:rPr>
          <w:rFonts w:eastAsia="Times New Roman" w:cs="Arial" w:ascii="Verdana" w:hAnsi="Verdana"/>
          <w:b/>
          <w:bCs/>
          <w:color w:val="000000"/>
          <w:sz w:val="20"/>
          <w:szCs w:val="20"/>
        </w:rPr>
        <w:t>3.13</w:t>
      </w:r>
      <w:r>
        <w:rPr>
          <w:rFonts w:eastAsia="Times New Roman" w:cs="Arial" w:ascii="Verdana" w:hAnsi="Verdana"/>
          <w:color w:val="000000"/>
          <w:sz w:val="20"/>
          <w:szCs w:val="20"/>
        </w:rPr>
        <w:t xml:space="preserve">. </w:t>
      </w:r>
      <w:r>
        <w:rPr>
          <w:rFonts w:cs="Arial" w:ascii="Verdana" w:hAnsi="Verdana"/>
          <w:color w:val="000000"/>
          <w:sz w:val="20"/>
          <w:szCs w:val="20"/>
        </w:rPr>
        <w:t>A NOTA FISCAL ELETRÔNICA deverá conter o mesmo CNPJ e razão social, apresentados quando na proposta, assim como, o número da contratação, o (s) objeto (s), os valores unitários e totais.</w:t>
      </w:r>
    </w:p>
    <w:p>
      <w:pPr>
        <w:pStyle w:val="ListParagraph"/>
        <w:tabs>
          <w:tab w:val="clear" w:pos="708"/>
          <w:tab w:val="left" w:pos="518" w:leader="none"/>
        </w:tabs>
        <w:spacing w:before="0" w:after="0"/>
        <w:ind w:left="0" w:hanging="0"/>
        <w:contextualSpacing w:val="false"/>
        <w:jc w:val="both"/>
        <w:rPr/>
      </w:pPr>
      <w:r>
        <w:rPr>
          <w:rFonts w:eastAsia="Times New Roman" w:cs="Arial" w:ascii="Verdana" w:hAnsi="Verdana"/>
          <w:b/>
          <w:bCs/>
          <w:color w:val="000000"/>
          <w:sz w:val="20"/>
          <w:szCs w:val="20"/>
        </w:rPr>
        <w:t>3.14</w:t>
      </w:r>
      <w:r>
        <w:rPr>
          <w:rFonts w:eastAsia="Times New Roman" w:cs="Arial" w:ascii="Verdana" w:hAnsi="Verdana"/>
          <w:color w:val="000000"/>
          <w:sz w:val="20"/>
          <w:szCs w:val="20"/>
        </w:rPr>
        <w:t>.</w:t>
      </w:r>
      <w:r>
        <w:rPr>
          <w:rFonts w:cs="Arial" w:ascii="Verdana" w:hAnsi="Verdana"/>
          <w:color w:val="000000"/>
          <w:sz w:val="20"/>
          <w:szCs w:val="20"/>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76"/>
        <w:jc w:val="both"/>
        <w:rPr/>
      </w:pPr>
      <w:r>
        <w:rPr>
          <w:rFonts w:cs="Arial" w:ascii="Verdana" w:hAnsi="Verdana"/>
          <w:b/>
          <w:bCs/>
          <w:color w:val="000000"/>
        </w:rPr>
        <w:t>3.15</w:t>
      </w:r>
      <w:r>
        <w:rPr>
          <w:rFonts w:cs="Arial" w:ascii="Verdana" w:hAnsi="Verdana"/>
          <w:color w:val="000000"/>
        </w:rPr>
        <w:t>. O CONTRATANTE poderá deduzir do pagamento importâncias que a qualquer título lhe forem devidos pela empresa CONTRATADA, em decorrência de descumprimento de suas obrigações.</w:t>
      </w:r>
    </w:p>
    <w:p>
      <w:pPr>
        <w:pStyle w:val="ListParagraph"/>
        <w:tabs>
          <w:tab w:val="clear" w:pos="708"/>
          <w:tab w:val="left" w:pos="434" w:leader="none"/>
        </w:tabs>
        <w:overflowPunct w:val="false"/>
        <w:spacing w:before="0" w:after="0"/>
        <w:ind w:left="0" w:hanging="0"/>
        <w:contextualSpacing/>
        <w:jc w:val="both"/>
        <w:textAlignment w:val="auto"/>
        <w:rPr/>
      </w:pPr>
      <w:r>
        <w:rPr>
          <w:rFonts w:eastAsia="Verdana" w:cs="Arial" w:ascii="Verdana" w:hAnsi="Verdana"/>
          <w:b/>
          <w:bCs/>
          <w:sz w:val="20"/>
          <w:szCs w:val="20"/>
          <w:lang w:eastAsia="pt-BR"/>
        </w:rPr>
        <w:t>3.16</w:t>
      </w:r>
      <w:r>
        <w:rPr>
          <w:rFonts w:eastAsia="Verdana" w:cs="Arial" w:ascii="Verdana" w:hAnsi="Verdana"/>
          <w:sz w:val="20"/>
          <w:szCs w:val="20"/>
          <w:lang w:eastAsia="pt-BR"/>
        </w:rPr>
        <w:t xml:space="preserve">. </w:t>
      </w:r>
      <w:r>
        <w:rPr>
          <w:rFonts w:eastAsia="Verdana" w:cs="Arial" w:ascii="Verdana" w:hAnsi="Verdana"/>
          <w:sz w:val="20"/>
          <w:szCs w:val="20"/>
          <w:lang w:eastAsia="en-US"/>
        </w:rPr>
        <w:t xml:space="preserve">Para a efetivação do pagamento, a CONTRATADA deverá manter as mesmas </w:t>
      </w:r>
      <w:r>
        <w:rPr>
          <w:rFonts w:eastAsia="Verdana" w:cs="Arial" w:ascii="Verdana" w:hAnsi="Verdana"/>
          <w:sz w:val="20"/>
          <w:szCs w:val="20"/>
          <w:lang w:eastAsia="pt-BR"/>
        </w:rPr>
        <w:t>condições relativas à proposta de preço e a habilitação.</w:t>
      </w:r>
    </w:p>
    <w:p>
      <w:pPr>
        <w:pStyle w:val="Normal"/>
        <w:tabs>
          <w:tab w:val="clear" w:pos="708"/>
          <w:tab w:val="left" w:pos="426" w:leader="none"/>
          <w:tab w:val="left" w:pos="900" w:leader="none"/>
          <w:tab w:val="left" w:pos="1080" w:leader="none"/>
        </w:tabs>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ivel2"/>
        <w:tabs>
          <w:tab w:val="clear" w:pos="0"/>
        </w:tabs>
        <w:spacing w:before="0" w:after="0"/>
        <w:rPr/>
      </w:pPr>
      <w:r>
        <w:rPr>
          <w:rFonts w:cs="Verdana" w:ascii="Verdana" w:hAnsi="Verdana"/>
          <w:b/>
          <w:bCs/>
        </w:rPr>
        <w:t xml:space="preserve">4.1 </w:t>
      </w:r>
      <w:bookmarkStart w:id="0" w:name="_Hlk146015535"/>
      <w:r>
        <w:rPr>
          <w:rFonts w:cs="Verdana" w:ascii="Verdana" w:hAnsi="Verdana"/>
        </w:rPr>
        <w:t>Os preços inicialmente contratados são fixos e irreajustáveis no prazo de um ano contado da data do orçamento estimado, em</w:t>
      </w:r>
      <w:r>
        <w:rPr>
          <w:rFonts w:cs="Verdana" w:ascii="Verdana" w:hAnsi="Verdana"/>
          <w:b/>
          <w:bCs/>
          <w:i/>
          <w:iCs/>
          <w:color w:val="FF0000"/>
        </w:rPr>
        <w:t>__/__/__ (DD/MM/AAAA)</w:t>
      </w:r>
      <w:r>
        <w:rPr>
          <w:rFonts w:cs="Verdana" w:ascii="Verdana" w:hAnsi="Verdana"/>
        </w:rPr>
        <w:t>.</w:t>
      </w:r>
    </w:p>
    <w:p>
      <w:pPr>
        <w:pStyle w:val="Nivel2"/>
        <w:tabs>
          <w:tab w:val="clear" w:pos="0"/>
        </w:tabs>
        <w:spacing w:before="0" w:after="0"/>
        <w:rPr/>
      </w:pPr>
      <w:r>
        <w:rPr>
          <w:rFonts w:cs="Verdana" w:ascii="Verdana" w:hAnsi="Verdana"/>
          <w:b/>
          <w:bCs/>
        </w:rPr>
        <w:t xml:space="preserve">4.2 </w:t>
      </w:r>
      <w:r>
        <w:rPr>
          <w:rFonts w:cs="Verdana" w:ascii="Verdana" w:hAnsi="Verdana"/>
        </w:rPr>
        <w:t xml:space="preserve">Após o interregno de um ano, e </w:t>
      </w:r>
      <w:bookmarkStart w:id="1" w:name="_Hlk132722410"/>
      <w:r>
        <w:rPr>
          <w:rFonts w:cs="Verdana" w:ascii="Verdana" w:hAnsi="Verdana"/>
        </w:rPr>
        <w:t xml:space="preserve">independentemente de pedido do contratado, </w:t>
      </w:r>
      <w:bookmarkEnd w:id="1"/>
      <w:r>
        <w:rPr>
          <w:rFonts w:cs="Verdana" w:ascii="Verdana" w:hAnsi="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pPr>
        <w:pStyle w:val="Nivel2"/>
        <w:tabs>
          <w:tab w:val="clear" w:pos="0"/>
        </w:tabs>
        <w:spacing w:before="0" w:after="0"/>
        <w:rPr/>
      </w:pPr>
      <w:r>
        <w:rPr>
          <w:rFonts w:cs="Verdana" w:ascii="Verdana" w:hAnsi="Verdana"/>
          <w:b/>
          <w:bCs/>
        </w:rPr>
        <w:t xml:space="preserve">4.3 </w:t>
      </w:r>
      <w:r>
        <w:rPr>
          <w:rFonts w:cs="Verdana" w:ascii="Verdana" w:hAnsi="Verdana"/>
        </w:rPr>
        <w:t>Nos reajustes subsequentes ao primeiro, o interregno mínimo de um ano será contado a partir dos efeitos financeiros do último reajuste.</w:t>
      </w:r>
    </w:p>
    <w:p>
      <w:pPr>
        <w:pStyle w:val="Nivel2"/>
        <w:tabs>
          <w:tab w:val="clear" w:pos="0"/>
        </w:tabs>
        <w:spacing w:before="0" w:after="0"/>
        <w:rPr/>
      </w:pPr>
      <w:r>
        <w:rPr>
          <w:rFonts w:cs="Verdana" w:ascii="Verdana" w:hAnsi="Verdana"/>
          <w:b/>
          <w:bCs/>
        </w:rPr>
        <w:t xml:space="preserve">4.4 </w:t>
      </w:r>
      <w:r>
        <w:rPr>
          <w:rFonts w:cs="Verdana" w:ascii="Verdana" w:hAnsi="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ivel2"/>
        <w:tabs>
          <w:tab w:val="clear" w:pos="0"/>
        </w:tabs>
        <w:spacing w:before="0" w:after="0"/>
        <w:rPr/>
      </w:pPr>
      <w:r>
        <w:rPr>
          <w:rFonts w:cs="Verdana" w:ascii="Verdana" w:hAnsi="Verdana"/>
          <w:b/>
          <w:bCs/>
        </w:rPr>
        <w:t xml:space="preserve">4.5 </w:t>
      </w:r>
      <w:r>
        <w:rPr>
          <w:rFonts w:cs="Verdana" w:ascii="Verdana" w:hAnsi="Verdana"/>
        </w:rPr>
        <w:t>Nas aferições finais, o(s) índice(s) utilizado(s) para reajuste será(ão), obrigatoriamente, o(s) definitivo(s).</w:t>
      </w:r>
    </w:p>
    <w:p>
      <w:pPr>
        <w:pStyle w:val="Nivel2"/>
        <w:tabs>
          <w:tab w:val="clear" w:pos="0"/>
        </w:tabs>
        <w:spacing w:before="0" w:after="0"/>
        <w:rPr/>
      </w:pPr>
      <w:r>
        <w:rPr>
          <w:rFonts w:cs="Verdana" w:ascii="Verdana" w:hAnsi="Verdana"/>
          <w:b/>
          <w:bCs/>
        </w:rPr>
        <w:t xml:space="preserve">4.6 </w:t>
      </w:r>
      <w:r>
        <w:rPr>
          <w:rFonts w:cs="Verdana" w:ascii="Verdana" w:hAnsi="Verdana"/>
        </w:rPr>
        <w:t>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0"/>
        </w:tabs>
        <w:spacing w:before="0" w:after="0"/>
        <w:rPr/>
      </w:pPr>
      <w:r>
        <w:rPr>
          <w:rFonts w:cs="Verdana" w:ascii="Verdana" w:hAnsi="Verdana"/>
          <w:b/>
          <w:bCs/>
        </w:rPr>
        <w:t xml:space="preserve">4.7 </w:t>
      </w:r>
      <w:r>
        <w:rPr>
          <w:rFonts w:cs="Verdana" w:ascii="Verdana" w:hAnsi="Verdana"/>
        </w:rPr>
        <w:t>Na ausência de previsão legal quanto ao índice substituto, as partes elegerão novo índice oficial, para reajustamento do preço do valor remanescente, por meio de termo aditivo.</w:t>
      </w:r>
    </w:p>
    <w:p>
      <w:pPr>
        <w:pStyle w:val="Nivel2"/>
        <w:tabs>
          <w:tab w:val="clear" w:pos="0"/>
        </w:tabs>
        <w:spacing w:before="0" w:after="0"/>
        <w:rPr/>
      </w:pPr>
      <w:r>
        <w:rPr>
          <w:rFonts w:cs="Verdana" w:ascii="Verdana" w:hAnsi="Verdana"/>
          <w:b/>
          <w:bCs/>
        </w:rPr>
        <w:t xml:space="preserve">4.8 </w:t>
      </w:r>
      <w:bookmarkStart w:id="2" w:name="_Hlk146015535"/>
      <w:r>
        <w:rPr>
          <w:rFonts w:cs="Verdana" w:ascii="Verdana" w:hAnsi="Verdana"/>
        </w:rPr>
        <w:t>O reajuste será realizado por apostilamento.</w:t>
      </w:r>
      <w:bookmarkEnd w:id="2"/>
    </w:p>
    <w:p>
      <w:pPr>
        <w:pStyle w:val="Nivel2"/>
        <w:tabs>
          <w:tab w:val="clear" w:pos="0"/>
        </w:tabs>
        <w:spacing w:before="0" w:after="0"/>
        <w:rPr>
          <w:rFonts w:ascii="Verdana" w:hAnsi="Verdana" w:cs="Verdana"/>
        </w:rPr>
      </w:pPr>
      <w:r>
        <w:rPr>
          <w:rFonts w:cs="Verdana" w:ascii="Verdana" w:hAnsi="Verdana"/>
        </w:rPr>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pPr>
      <w:r>
        <w:rPr>
          <w:rFonts w:cs="Verdana" w:ascii="Verdana" w:hAnsi="Verdana"/>
          <w:b/>
          <w:u w:val="single"/>
        </w:rPr>
        <w:t xml:space="preserve">CLÁUSULA QUINTA – </w:t>
      </w:r>
      <w:r>
        <w:rPr>
          <w:rFonts w:eastAsia="Batang;바탕" w:cs="Verdana" w:ascii="Verdana" w:hAnsi="Verdana"/>
          <w:b/>
          <w:u w:val="single"/>
        </w:rPr>
        <w:t>DA DOTAÇÃO ORÇAMENTÁRIA</w:t>
      </w:r>
    </w:p>
    <w:p>
      <w:pPr>
        <w:pStyle w:val="Normal"/>
        <w:tabs>
          <w:tab w:val="clear" w:pos="708"/>
          <w:tab w:val="left" w:pos="10348" w:leader="none"/>
        </w:tabs>
        <w:spacing w:lineRule="auto" w:line="240"/>
        <w:jc w:val="both"/>
        <w:rPr/>
      </w:pPr>
      <w:r>
        <w:rPr>
          <w:rFonts w:cs="Verdana" w:ascii="Verdana" w:hAnsi="Verdana"/>
          <w:b/>
        </w:rPr>
        <w:t xml:space="preserve">5.1 </w:t>
      </w:r>
      <w:r>
        <w:rPr>
          <w:rFonts w:eastAsia="Batang;바탕" w:cs="Verdana" w:ascii="Verdana" w:hAnsi="Verdana"/>
          <w:b/>
          <w:u w:val="single"/>
        </w:rPr>
        <w:t>Dos recursos orçamentários</w:t>
      </w:r>
      <w:r>
        <w:rPr>
          <w:rFonts w:eastAsia="Batang;바탕" w:cs="Verdana" w:ascii="Verdana" w:hAnsi="Verdana"/>
        </w:rPr>
        <w:t xml:space="preserve"> – </w:t>
      </w:r>
      <w:r>
        <w:rPr>
          <w:rFonts w:eastAsia="Batang;바탕" w:ascii="Verdana" w:hAnsi="Verdana"/>
          <w:color w:val="000000"/>
        </w:rPr>
        <w:t>Os recursos necessários para a prestação dos serviços correrão a conta de dotações próprias consignadas no Orçamento vigente, conforme discriminado abaixo:</w:t>
      </w:r>
    </w:p>
    <w:p>
      <w:pPr>
        <w:pStyle w:val="Normal"/>
        <w:numPr>
          <w:ilvl w:val="0"/>
          <w:numId w:val="0"/>
        </w:numPr>
        <w:spacing w:lineRule="auto" w:line="240" w:before="57" w:after="57"/>
        <w:ind w:left="0" w:hanging="0"/>
        <w:jc w:val="both"/>
        <w:rPr>
          <w:b w:val="false"/>
          <w:bCs w:val="false"/>
        </w:rPr>
      </w:pPr>
      <w:r>
        <w:rPr>
          <w:rFonts w:cs="Times New Roman" w:ascii="Verdana" w:hAnsi="Verdana"/>
          <w:b w:val="false"/>
          <w:bCs w:val="false"/>
          <w:sz w:val="20"/>
          <w:szCs w:val="20"/>
          <w:lang w:eastAsia="ar-SA"/>
        </w:rPr>
        <w:t xml:space="preserve">Secretaria Municipal </w:t>
      </w:r>
      <w:r>
        <w:rPr>
          <w:rFonts w:cs="Times New Roman" w:ascii="Verdana" w:hAnsi="Verdana"/>
          <w:b w:val="false"/>
          <w:bCs w:val="false"/>
          <w:sz w:val="20"/>
          <w:szCs w:val="20"/>
          <w:lang w:eastAsia="ar-SA"/>
        </w:rPr>
        <w:t>de Serviços Urbanos e Transportes</w:t>
      </w:r>
    </w:p>
    <w:p>
      <w:pPr>
        <w:pStyle w:val="Normal"/>
        <w:spacing w:lineRule="auto" w:line="240" w:before="57" w:after="57"/>
        <w:rPr>
          <w:b w:val="false"/>
          <w:bCs w:val="false"/>
        </w:rPr>
      </w:pPr>
      <w:r>
        <w:rPr>
          <w:rFonts w:eastAsia="Batang;바탕" w:cs="Times New Roman" w:ascii="Verdana" w:hAnsi="Verdana"/>
          <w:b w:val="false"/>
          <w:bCs w:val="false"/>
          <w:color w:val="000000"/>
          <w:sz w:val="20"/>
          <w:szCs w:val="20"/>
          <w:lang w:eastAsia="ar-SA"/>
        </w:rPr>
        <w:t xml:space="preserve">Ficha/Fonte: </w:t>
      </w:r>
      <w:r>
        <w:rPr>
          <w:rFonts w:eastAsia="Batang;바탕" w:cs="Times New Roman" w:ascii="Verdana" w:hAnsi="Verdana"/>
          <w:b w:val="false"/>
          <w:bCs w:val="false"/>
          <w:color w:val="000000"/>
          <w:sz w:val="20"/>
          <w:szCs w:val="20"/>
          <w:lang w:eastAsia="ar-SA"/>
        </w:rPr>
        <w:t>236</w:t>
      </w:r>
      <w:r>
        <w:rPr>
          <w:rFonts w:eastAsia="Batang;바탕" w:cs="Times New Roman" w:ascii="Verdana" w:hAnsi="Verdana"/>
          <w:b w:val="false"/>
          <w:bCs w:val="false"/>
          <w:color w:val="000000"/>
          <w:sz w:val="20"/>
          <w:szCs w:val="20"/>
          <w:lang w:eastAsia="ar-SA"/>
        </w:rPr>
        <w:t xml:space="preserve"> – 150000</w:t>
      </w:r>
      <w:r>
        <w:rPr>
          <w:rFonts w:eastAsia="Batang;바탕" w:cs="Times New Roman" w:ascii="Verdana" w:hAnsi="Verdana"/>
          <w:b w:val="false"/>
          <w:bCs w:val="false"/>
          <w:color w:val="000000"/>
          <w:sz w:val="20"/>
          <w:szCs w:val="20"/>
          <w:lang w:eastAsia="ar-SA"/>
        </w:rPr>
        <w:t>00</w:t>
      </w:r>
      <w:r>
        <w:rPr>
          <w:rFonts w:eastAsia="Batang;바탕" w:cs="Times New Roman" w:ascii="Verdana" w:hAnsi="Verdana"/>
          <w:b w:val="false"/>
          <w:bCs w:val="false"/>
          <w:color w:val="000000"/>
          <w:sz w:val="20"/>
          <w:szCs w:val="20"/>
          <w:lang w:eastAsia="ar-SA"/>
        </w:rPr>
        <w:t>000000.</w:t>
      </w:r>
    </w:p>
    <w:p>
      <w:pPr>
        <w:pStyle w:val="Normal"/>
        <w:tabs>
          <w:tab w:val="clear" w:pos="708"/>
          <w:tab w:val="left" w:pos="10348" w:leader="none"/>
        </w:tabs>
        <w:spacing w:lineRule="auto" w:line="240"/>
        <w:jc w:val="both"/>
        <w:rPr>
          <w:rFonts w:ascii="Verdana" w:hAnsi="Verdana" w:cs="Verdana"/>
        </w:rPr>
      </w:pPr>
      <w:r>
        <w:rPr>
          <w:rFonts w:cs="Verdana" w:ascii="Verdana" w:hAnsi="Verdana"/>
        </w:rPr>
      </w:r>
    </w:p>
    <w:p>
      <w:pPr>
        <w:pStyle w:val="Normal"/>
        <w:spacing w:lineRule="auto" w:line="240"/>
        <w:jc w:val="both"/>
        <w:rPr>
          <w:rFonts w:ascii="Verdana" w:hAnsi="Verdana"/>
          <w:sz w:val="20"/>
          <w:szCs w:val="20"/>
        </w:rPr>
      </w:pPr>
      <w:r>
        <w:rPr>
          <w:rFonts w:cs="Verdana" w:ascii="Verdana" w:hAnsi="Verdana"/>
          <w:b/>
          <w:sz w:val="20"/>
          <w:szCs w:val="20"/>
          <w:u w:val="single"/>
        </w:rPr>
        <w:t>CLÁUSULA SEXTA – VIGÊNCIA</w:t>
      </w:r>
    </w:p>
    <w:p>
      <w:pPr>
        <w:pStyle w:val="Normal"/>
        <w:spacing w:lineRule="auto" w:line="240"/>
        <w:jc w:val="both"/>
        <w:rPr>
          <w:rFonts w:ascii="Verdana" w:hAnsi="Verdana"/>
          <w:sz w:val="20"/>
          <w:szCs w:val="20"/>
        </w:rPr>
      </w:pPr>
      <w:r>
        <w:rPr>
          <w:rFonts w:cs="Verdana" w:ascii="Verdana" w:hAnsi="Verdana"/>
          <w:b/>
          <w:sz w:val="20"/>
          <w:szCs w:val="20"/>
        </w:rPr>
        <w:t>6.1 –</w:t>
      </w:r>
      <w:r>
        <w:rPr>
          <w:rFonts w:cs="Verdana" w:ascii="Verdana" w:hAnsi="Verdana"/>
          <w:sz w:val="20"/>
          <w:szCs w:val="20"/>
        </w:rPr>
        <w:t xml:space="preserve"> A vigência do contrato será de 12 (doze) meses, contados a partir da assinatura do contrato.</w:t>
      </w:r>
    </w:p>
    <w:p>
      <w:pPr>
        <w:pStyle w:val="Normal"/>
        <w:spacing w:lineRule="auto" w:line="240"/>
        <w:jc w:val="both"/>
        <w:rPr>
          <w:rFonts w:ascii="Verdana" w:hAnsi="Verdana"/>
          <w:sz w:val="20"/>
          <w:szCs w:val="20"/>
        </w:rPr>
      </w:pPr>
      <w:r>
        <w:rPr>
          <w:rFonts w:cs="Verdana" w:ascii="Verdana" w:hAnsi="Verdana"/>
          <w:b/>
          <w:sz w:val="20"/>
          <w:szCs w:val="20"/>
        </w:rPr>
        <w:t>6.2 –</w:t>
      </w:r>
      <w:r>
        <w:rPr>
          <w:rFonts w:cs="Verdana" w:ascii="Verdana" w:hAnsi="Verdana"/>
          <w:sz w:val="20"/>
          <w:szCs w:val="20"/>
        </w:rPr>
        <w:t xml:space="preserve"> O prazo previsto poderá ser prorrogado exclusivamente a critério da CONTRATANTE se entender ser conveniente para a Administração, nos termos da Lei.</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Verdana" w:ascii="Verdana" w:hAnsi="Verdana"/>
          <w:b/>
          <w:sz w:val="20"/>
          <w:szCs w:val="20"/>
          <w:u w:val="single"/>
        </w:rPr>
        <w:t>CLÁUSULA SÉTIMA – OBRIGAÇÕES DA CONTRATADA</w:t>
      </w:r>
    </w:p>
    <w:p>
      <w:pPr>
        <w:pStyle w:val="Normal"/>
        <w:spacing w:lineRule="auto" w:line="240"/>
        <w:jc w:val="both"/>
        <w:rPr>
          <w:rFonts w:ascii="Verdana" w:hAnsi="Verdana"/>
          <w:sz w:val="20"/>
          <w:szCs w:val="20"/>
        </w:rPr>
      </w:pPr>
      <w:r>
        <w:rPr>
          <w:rFonts w:cs="Verdana" w:ascii="Verdana" w:hAnsi="Verdana"/>
          <w:b/>
          <w:sz w:val="20"/>
          <w:szCs w:val="20"/>
        </w:rPr>
        <w:t>7.1 –</w:t>
      </w:r>
      <w:r>
        <w:rPr>
          <w:rFonts w:cs="Verdana" w:ascii="Verdana" w:hAnsi="Verdana"/>
          <w:sz w:val="20"/>
          <w:szCs w:val="20"/>
        </w:rPr>
        <w:t xml:space="preserve"> </w:t>
      </w:r>
      <w:r>
        <w:rPr>
          <w:rFonts w:cs="Verdana" w:ascii="Verdana" w:hAnsi="Verdana"/>
          <w:iCs/>
          <w:color w:val="000000"/>
          <w:sz w:val="20"/>
          <w:szCs w:val="20"/>
          <w:lang w:eastAsia="en-US"/>
        </w:rPr>
        <w:t>Entregar o objeto de forma pessoal ou por pessoa (física ou jurídica) na qualidade de seu representante direto, não podendo transferir a terceiros, nem mesmo à Empresa</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Brasileira de Correios e Telégrafos, a sua execução.</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 xml:space="preserve">7.2 Valendo-se a CONTRATADA de terceiros para efetuar a entrega dos equipamentos, o CONTRATANTE, por meio </w:t>
      </w:r>
      <w:r>
        <w:rPr>
          <w:rFonts w:eastAsia="Times New Roman" w:cs="Verdana" w:ascii="Verdana" w:hAnsi="Verdana"/>
          <w:iCs/>
          <w:color w:val="000000"/>
          <w:kern w:val="0"/>
          <w:sz w:val="20"/>
          <w:szCs w:val="20"/>
          <w:lang w:val="pt-BR" w:eastAsia="en-US" w:bidi="ar-SA"/>
        </w:rPr>
        <w:t>de representante</w:t>
      </w:r>
      <w:r>
        <w:rPr>
          <w:rFonts w:cs="Verdana" w:ascii="Verdana" w:hAnsi="Verdana"/>
          <w:iCs/>
          <w:color w:val="000000"/>
          <w:sz w:val="20"/>
          <w:szCs w:val="20"/>
          <w:lang w:eastAsia="en-US"/>
        </w:rPr>
        <w:t>, poderá recusar o recebimento, sem exclusão das sanções cabíveis.</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7.3 Respeitar os prazos, condições e especificações estabelecidas neste Termo de</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Referência.</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7.4 Entregar os equipamentos acondicionados em embalagens originais, devidamente identificadas e lacradas.</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7.5 Fazer acompanhar o respectivo manual do usuário dos equipamentos com uma versão em português.</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7.6 Responsabilizar-se por eventuais danos causados aos equipamentos nos procedimentos de transporte, guarda e entrega.</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7.7 Comunicar, no prazo mínimo de 48 (quarenta e oito) horas de antecedência, a ocorrência de casos fortuitos que impeçam ou atrasem a execução do estabelecido neste Termo de Referência, no tocante à entrega dos equipamentos.</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7.8 Responsabilizar-se pelos custos referentes ao transporte e guarda dos equipamentos antes de sua entrega no local indicado.</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7.9 Manter-se, durante a vigência do contrato, todas as condições exigidas para habilitação, em observância à legislação vigente.</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7.10 Prestar esclarecimentos técnicos à secretaria requisitante no que se refere ao objeto da aquisição, sempre que solicitada.</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7.11  Responsabilizar-se integralmente pelos encargos trabalhistas, previdenciários, fiscais, comerciais e de responsabilidade civil, bem como outros encargos, taxas e impostos decorrentes da execução do contrato.</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 xml:space="preserve">7.12 Apresentar à </w:t>
      </w:r>
      <w:r>
        <w:rPr>
          <w:rFonts w:eastAsia="Times New Roman" w:cs="Verdana" w:ascii="Verdana" w:hAnsi="Verdana"/>
          <w:iCs/>
          <w:color w:val="000000"/>
          <w:kern w:val="0"/>
          <w:sz w:val="20"/>
          <w:szCs w:val="20"/>
          <w:lang w:val="pt-BR" w:eastAsia="en-US" w:bidi="ar-SA"/>
        </w:rPr>
        <w:t>requisitante</w:t>
      </w:r>
      <w:r>
        <w:rPr>
          <w:rFonts w:cs="Verdana" w:ascii="Verdana" w:hAnsi="Verdana"/>
          <w:iCs/>
          <w:color w:val="000000"/>
          <w:sz w:val="20"/>
          <w:szCs w:val="20"/>
          <w:lang w:eastAsia="en-US"/>
        </w:rPr>
        <w:t>, inclusive para fins de liberação do pagamento, notas fiscais de todos os equipamentos.</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7.13 Responsabilizar-se pelos ônus resultantes de quaisquer ações, demandas, custos e despesas decorrentes de danos ocorridos por dolo ou culpa sua ou de qualquer de seus empregados e pressupostos, obrigando-se igualmente por quaisquer responsabilidades decorrentes de ações judiciais movidas por terceiros, que lhe venham a ser exigida por força de Lei.</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7.14 Que sejam observados os requisitos ambientais para a obtenção de certificação do Instituto Nacional de Metrologia, Normalização e Qualidade Industrial – INMETRO, como produtos sustentáveis ou de menor impacto ambiental em relação aos seus similares.</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iCs/>
          <w:color w:val="000000"/>
          <w:sz w:val="20"/>
          <w:szCs w:val="20"/>
          <w:lang w:eastAsia="en-US"/>
        </w:rPr>
        <w:t>7.15 Que os bens devam ser, preferencialmente, acondicionados em embalagem individual adequada, com o menor volume possível, que utilize materiais recicláveis, de forma a garantir a máxima proteção durante o transporte e o armazenamento.</w:t>
      </w:r>
    </w:p>
    <w:p>
      <w:pPr>
        <w:pStyle w:val="ListParagraph"/>
        <w:tabs>
          <w:tab w:val="clear" w:pos="708"/>
          <w:tab w:val="left" w:pos="426" w:leader="none"/>
        </w:tabs>
        <w:spacing w:before="0" w:after="0"/>
        <w:ind w:left="0" w:hanging="0"/>
        <w:contextualSpacing/>
        <w:jc w:val="both"/>
        <w:rPr>
          <w:rFonts w:ascii="Verdana" w:hAnsi="Verdana"/>
          <w:sz w:val="20"/>
          <w:szCs w:val="20"/>
        </w:rPr>
      </w:pPr>
      <w:r>
        <w:rPr>
          <w:rFonts w:ascii="Verdana" w:hAnsi="Verdana"/>
          <w:sz w:val="20"/>
          <w:szCs w:val="20"/>
        </w:rPr>
      </w:r>
    </w:p>
    <w:p>
      <w:pPr>
        <w:pStyle w:val="Normal"/>
        <w:spacing w:lineRule="auto" w:line="276"/>
        <w:jc w:val="both"/>
        <w:rPr>
          <w:rFonts w:ascii="Verdana" w:hAnsi="Verdana" w:cs="Verdana"/>
          <w:b/>
          <w:u w:val="single"/>
        </w:rPr>
      </w:pPr>
      <w:r>
        <w:rPr>
          <w:rFonts w:cs="Verdana" w:ascii="Verdana" w:hAnsi="Verdana"/>
          <w:b/>
          <w:u w:val="single"/>
        </w:rPr>
        <w:t>CLÁUSULA OITAVA – OBRIGAÇÕES DA CONTRATANTE</w:t>
      </w:r>
    </w:p>
    <w:p>
      <w:pPr>
        <w:pStyle w:val="Normal"/>
        <w:spacing w:lineRule="auto" w:line="240"/>
        <w:jc w:val="both"/>
        <w:rPr>
          <w:rFonts w:ascii="Verdana" w:hAnsi="Verdana"/>
          <w:b w:val="false"/>
          <w:bCs w:val="false"/>
          <w:sz w:val="20"/>
          <w:szCs w:val="20"/>
        </w:rPr>
      </w:pPr>
      <w:r>
        <w:rPr>
          <w:rFonts w:cs="Verdana" w:ascii="Verdana" w:hAnsi="Verdana"/>
          <w:b w:val="false"/>
          <w:bCs w:val="false"/>
          <w:sz w:val="20"/>
          <w:szCs w:val="20"/>
        </w:rPr>
        <w:t xml:space="preserve">8.1 </w:t>
      </w:r>
      <w:r>
        <w:rPr>
          <w:rFonts w:cs="Verdana" w:ascii="Verdana" w:hAnsi="Verdana"/>
          <w:b w:val="false"/>
          <w:bCs w:val="false"/>
          <w:iCs/>
          <w:color w:val="000000"/>
          <w:sz w:val="20"/>
          <w:szCs w:val="20"/>
          <w:lang w:eastAsia="en-US"/>
        </w:rPr>
        <w:t>Cumprir todos os compromissos financeiros assumidos com a CONTRATADA.</w:t>
      </w:r>
    </w:p>
    <w:p>
      <w:pPr>
        <w:pStyle w:val="Normal"/>
        <w:spacing w:lineRule="auto" w:line="240"/>
        <w:jc w:val="both"/>
        <w:rPr>
          <w:rFonts w:ascii="Verdana" w:hAnsi="Verdana"/>
          <w:b w:val="false"/>
          <w:bCs w:val="false"/>
          <w:sz w:val="20"/>
          <w:szCs w:val="20"/>
        </w:rPr>
      </w:pPr>
      <w:r>
        <w:rPr>
          <w:rFonts w:cs="Arial" w:ascii="Verdana" w:hAnsi="Verdana"/>
          <w:b w:val="false"/>
          <w:bCs w:val="false"/>
          <w:color w:val="000000"/>
          <w:sz w:val="20"/>
          <w:szCs w:val="20"/>
        </w:rPr>
        <w:t xml:space="preserve">8.2. </w:t>
      </w:r>
      <w:r>
        <w:rPr>
          <w:rFonts w:cs="Verdana" w:ascii="Verdana" w:hAnsi="Verdana"/>
          <w:b w:val="false"/>
          <w:bCs w:val="false"/>
          <w:iCs/>
          <w:color w:val="000000"/>
          <w:sz w:val="20"/>
          <w:szCs w:val="20"/>
          <w:lang w:eastAsia="en-US"/>
        </w:rPr>
        <w:t>Comunicar à CONTRATADA toda e qualquer situação que fuja ao fiel cumprimento deste Termo de Referência pela mesma, dando, sempre que possível, orientações para sanar quaisquer vícios.</w:t>
      </w:r>
    </w:p>
    <w:p>
      <w:pPr>
        <w:pStyle w:val="Normal"/>
        <w:spacing w:lineRule="auto" w:line="240"/>
        <w:jc w:val="both"/>
        <w:rPr>
          <w:rFonts w:ascii="Verdana" w:hAnsi="Verdana"/>
          <w:b w:val="false"/>
          <w:bCs w:val="false"/>
          <w:sz w:val="20"/>
          <w:szCs w:val="20"/>
        </w:rPr>
      </w:pPr>
      <w:r>
        <w:rPr>
          <w:rFonts w:cs="Arial" w:ascii="Verdana" w:hAnsi="Verdana"/>
          <w:b w:val="false"/>
          <w:bCs w:val="false"/>
          <w:color w:val="000000"/>
          <w:sz w:val="20"/>
          <w:szCs w:val="20"/>
        </w:rPr>
        <w:t xml:space="preserve">8.3. </w:t>
      </w:r>
      <w:r>
        <w:rPr>
          <w:rFonts w:cs="Verdana" w:ascii="Verdana" w:hAnsi="Verdana"/>
          <w:b w:val="false"/>
          <w:bCs w:val="false"/>
          <w:iCs/>
          <w:color w:val="000000"/>
          <w:sz w:val="20"/>
          <w:szCs w:val="20"/>
          <w:lang w:eastAsia="en-US"/>
        </w:rPr>
        <w:t>Emitir notificação, no prazo de 5 (cinco) dias úteis, contados a partir da ciência do fato, sobre ocorrência de irregularidades na execução do contrato, convocando a CONTRATADA para sanar tais irregularidades.</w:t>
      </w:r>
    </w:p>
    <w:p>
      <w:pPr>
        <w:pStyle w:val="Normal"/>
        <w:spacing w:lineRule="auto" w:line="240"/>
        <w:jc w:val="both"/>
        <w:rPr>
          <w:rFonts w:ascii="Verdana" w:hAnsi="Verdana"/>
          <w:b w:val="false"/>
          <w:bCs w:val="false"/>
          <w:sz w:val="20"/>
          <w:szCs w:val="20"/>
        </w:rPr>
      </w:pPr>
      <w:r>
        <w:rPr>
          <w:rFonts w:cs="Arial" w:ascii="Verdana" w:hAnsi="Verdana"/>
          <w:b w:val="false"/>
          <w:bCs w:val="false"/>
          <w:color w:val="000000"/>
          <w:sz w:val="20"/>
          <w:szCs w:val="20"/>
        </w:rPr>
        <w:t xml:space="preserve">8.4. </w:t>
      </w:r>
      <w:r>
        <w:rPr>
          <w:rFonts w:cs="Verdana" w:ascii="Verdana" w:hAnsi="Verdana"/>
          <w:b w:val="false"/>
          <w:bCs w:val="false"/>
          <w:iCs/>
          <w:color w:val="000000"/>
          <w:sz w:val="20"/>
          <w:szCs w:val="20"/>
          <w:lang w:eastAsia="en-US"/>
        </w:rPr>
        <w:t>Receber e avaliar o objeto, pronunciando-se acerca do atendimento ou não das especificações estabelecidas neste Termo de Referência.</w:t>
      </w:r>
    </w:p>
    <w:p>
      <w:pPr>
        <w:pStyle w:val="Normal"/>
        <w:spacing w:lineRule="auto" w:line="240"/>
        <w:jc w:val="both"/>
        <w:rPr>
          <w:rFonts w:ascii="Verdana" w:hAnsi="Verdana"/>
          <w:b w:val="false"/>
          <w:bCs w:val="false"/>
          <w:sz w:val="20"/>
          <w:szCs w:val="20"/>
        </w:rPr>
      </w:pPr>
      <w:r>
        <w:rPr>
          <w:rFonts w:cs="Arial" w:ascii="Verdana" w:hAnsi="Verdana"/>
          <w:b w:val="false"/>
          <w:bCs w:val="false"/>
          <w:color w:val="000000"/>
          <w:sz w:val="20"/>
          <w:szCs w:val="20"/>
        </w:rPr>
        <w:t xml:space="preserve">8.5. </w:t>
      </w:r>
      <w:r>
        <w:rPr>
          <w:rFonts w:cs="Verdana" w:ascii="Verdana" w:hAnsi="Verdana"/>
          <w:b w:val="false"/>
          <w:bCs w:val="false"/>
          <w:iCs/>
          <w:color w:val="000000"/>
          <w:sz w:val="20"/>
          <w:szCs w:val="20"/>
          <w:lang w:eastAsia="en-US"/>
        </w:rPr>
        <w:t>Atuar de forma ampla e completa no acompanhamento da execução do objeto.</w:t>
      </w:r>
    </w:p>
    <w:p>
      <w:pPr>
        <w:pStyle w:val="Normal"/>
        <w:spacing w:lineRule="auto" w:line="240"/>
        <w:jc w:val="both"/>
        <w:rPr>
          <w:rFonts w:ascii="Verdana" w:hAnsi="Verdana"/>
          <w:b w:val="false"/>
          <w:bCs w:val="false"/>
          <w:sz w:val="20"/>
          <w:szCs w:val="20"/>
        </w:rPr>
      </w:pPr>
      <w:r>
        <w:rPr>
          <w:rFonts w:cs="Arial" w:ascii="Verdana" w:hAnsi="Verdana"/>
          <w:b w:val="false"/>
          <w:bCs w:val="false"/>
          <w:color w:val="000000"/>
          <w:sz w:val="20"/>
          <w:szCs w:val="20"/>
          <w:lang w:eastAsia="en-US"/>
        </w:rPr>
        <w:t xml:space="preserve">8.6. </w:t>
      </w:r>
      <w:r>
        <w:rPr>
          <w:rFonts w:cs="Verdana" w:ascii="Verdana" w:hAnsi="Verdana"/>
          <w:b w:val="false"/>
          <w:bCs w:val="false"/>
          <w:iCs/>
          <w:color w:val="000000"/>
          <w:sz w:val="20"/>
          <w:szCs w:val="20"/>
          <w:lang w:eastAsia="en-US"/>
        </w:rPr>
        <w:t>Prestar, por meio da Assessoria de Comunicação, esclarecimentos e informações necessárias à CONTRATADA no sentido de contribuir com a mesma para a plena execução do objeto.</w:t>
      </w:r>
    </w:p>
    <w:p>
      <w:pPr>
        <w:pStyle w:val="Normal"/>
        <w:spacing w:lineRule="auto" w:line="240"/>
        <w:jc w:val="both"/>
        <w:rPr>
          <w:rFonts w:ascii="Verdana" w:hAnsi="Verdana"/>
          <w:sz w:val="20"/>
          <w:szCs w:val="20"/>
        </w:rPr>
      </w:pPr>
      <w:r>
        <w:rPr>
          <w:rFonts w:cs="Verdana" w:ascii="Verdana" w:hAnsi="Verdana"/>
          <w:iCs/>
          <w:color w:val="000000"/>
          <w:sz w:val="20"/>
          <w:szCs w:val="20"/>
          <w:lang w:eastAsia="en-US"/>
        </w:rPr>
        <w:t>8.7 Atestar nota fiscal/fatura mensal em concordância com o fornecimento dos equipamentos e as condições estabelecidas no contrato, a fim de que seja efetuado o devido pagamento pelo setor.</w:t>
      </w:r>
    </w:p>
    <w:p>
      <w:pPr>
        <w:pStyle w:val="Normal"/>
        <w:spacing w:lineRule="auto" w:line="240"/>
        <w:jc w:val="both"/>
        <w:rPr>
          <w:rFonts w:ascii="Verdana" w:hAnsi="Verdana"/>
          <w:sz w:val="20"/>
          <w:szCs w:val="20"/>
        </w:rPr>
      </w:pPr>
      <w:r>
        <w:rPr>
          <w:rFonts w:cs="Verdana" w:ascii="Verdana" w:hAnsi="Verdana"/>
          <w:iCs/>
          <w:color w:val="000000"/>
          <w:sz w:val="20"/>
          <w:szCs w:val="20"/>
          <w:lang w:eastAsia="en-US"/>
        </w:rPr>
        <w:t>8.8 Fiscalizar o cumprimento das obrigações assumidas pela CONTRATADA.</w:t>
      </w:r>
    </w:p>
    <w:p>
      <w:pPr>
        <w:pStyle w:val="Normal"/>
        <w:spacing w:lineRule="auto" w:line="240"/>
        <w:jc w:val="both"/>
        <w:rPr>
          <w:rFonts w:ascii="Verdana" w:hAnsi="Verdana"/>
          <w:sz w:val="20"/>
          <w:szCs w:val="20"/>
        </w:rPr>
      </w:pPr>
      <w:r>
        <w:rPr>
          <w:rFonts w:cs="Verdana" w:ascii="Verdana" w:hAnsi="Verdana"/>
          <w:iCs/>
          <w:color w:val="000000"/>
          <w:sz w:val="20"/>
          <w:szCs w:val="20"/>
          <w:lang w:eastAsia="en-US"/>
        </w:rPr>
        <w:t>8.9 Efetuar, por escrito, solicitação de reparo/troca à CONTRATADA quando ocorrer</w:t>
      </w:r>
    </w:p>
    <w:p>
      <w:pPr>
        <w:pStyle w:val="Normal"/>
        <w:spacing w:lineRule="auto" w:line="240"/>
        <w:jc w:val="both"/>
        <w:rPr>
          <w:rFonts w:ascii="Verdana" w:hAnsi="Verdana"/>
          <w:sz w:val="20"/>
          <w:szCs w:val="20"/>
        </w:rPr>
      </w:pPr>
      <w:r>
        <w:rPr>
          <w:rFonts w:cs="Verdana" w:ascii="Verdana" w:hAnsi="Verdana"/>
          <w:iCs/>
          <w:color w:val="000000"/>
          <w:sz w:val="20"/>
          <w:szCs w:val="20"/>
          <w:lang w:eastAsia="en-US"/>
        </w:rPr>
        <w:t>defeito, dentro do prazo da garantia estipulada.</w:t>
      </w:r>
    </w:p>
    <w:p>
      <w:pPr>
        <w:pStyle w:val="Normal"/>
        <w:spacing w:lineRule="auto" w:line="240"/>
        <w:jc w:val="both"/>
        <w:rPr>
          <w:rFonts w:ascii="Verdana" w:hAnsi="Verdana"/>
          <w:sz w:val="20"/>
          <w:szCs w:val="20"/>
        </w:rPr>
      </w:pPr>
      <w:r>
        <w:rPr>
          <w:rFonts w:cs="Verdana" w:ascii="Verdana" w:hAnsi="Verdana"/>
          <w:iCs/>
          <w:color w:val="000000"/>
          <w:sz w:val="20"/>
          <w:szCs w:val="20"/>
          <w:lang w:eastAsia="en-US"/>
        </w:rPr>
        <w:t>8.10 O CONTRATANTE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pPr>
        <w:pStyle w:val="ListParagraph"/>
        <w:tabs>
          <w:tab w:val="clear" w:pos="708"/>
          <w:tab w:val="left" w:pos="426" w:leader="none"/>
        </w:tabs>
        <w:spacing w:before="0" w:after="0"/>
        <w:ind w:left="0" w:hanging="0"/>
        <w:contextualSpacing/>
        <w:rPr>
          <w:rFonts w:ascii="Verdana" w:hAnsi="Verdana"/>
          <w:sz w:val="20"/>
          <w:szCs w:val="20"/>
        </w:rPr>
      </w:pPr>
      <w:r>
        <w:rPr>
          <w:rFonts w:ascii="Verdana" w:hAnsi="Verdana"/>
          <w:sz w:val="20"/>
          <w:szCs w:val="20"/>
        </w:rPr>
      </w:r>
    </w:p>
    <w:p>
      <w:pPr>
        <w:pStyle w:val="Normal"/>
        <w:spacing w:lineRule="auto" w:line="276"/>
        <w:jc w:val="both"/>
        <w:rPr/>
      </w:pPr>
      <w:r>
        <w:rPr>
          <w:rFonts w:cs="Verdana" w:ascii="Verdana" w:hAnsi="Verdana"/>
          <w:b/>
          <w:u w:val="single"/>
        </w:rPr>
        <w:t xml:space="preserve">CLÁUSULA NONA – </w:t>
      </w:r>
      <w:r>
        <w:rPr>
          <w:rFonts w:cs="Arial" w:ascii="Verdana" w:hAnsi="Verdana"/>
          <w:b/>
          <w:bCs/>
          <w:color w:val="000000"/>
          <w:u w:val="single"/>
        </w:rPr>
        <w:t>DO CONTROLE E FISCALIZAÇÃO DA EXECUÇÃO</w:t>
      </w:r>
    </w:p>
    <w:p>
      <w:pPr>
        <w:pStyle w:val="Normal"/>
        <w:tabs>
          <w:tab w:val="clear" w:pos="708"/>
          <w:tab w:val="left" w:pos="378" w:leader="none"/>
        </w:tabs>
        <w:spacing w:lineRule="auto" w:line="276"/>
        <w:jc w:val="both"/>
        <w:rPr/>
      </w:pPr>
      <w:r>
        <w:rPr>
          <w:rFonts w:cs="Verdana" w:ascii="Verdana" w:hAnsi="Verdana"/>
          <w:b/>
        </w:rPr>
        <w:t>9.1 –</w:t>
      </w:r>
      <w:r>
        <w:rPr>
          <w:rFonts w:cs="Verdana" w:ascii="Verdana" w:hAnsi="Verdana"/>
        </w:rPr>
        <w:t xml:space="preserve"> </w:t>
      </w:r>
      <w:r>
        <w:rPr>
          <w:rFonts w:cs="Arial" w:ascii="Verdana" w:hAnsi="Verdana"/>
          <w:color w:val="000000"/>
        </w:rPr>
        <w:t>Será designado representante para acompanhar e fiscalizar a entrega dos gêneros alimentícios anotando em registro próprio todas as ocorrências relacionadas com a execução e determinando o que for necessário à regularização de falhas ou defeitos observados.</w:t>
      </w:r>
    </w:p>
    <w:p>
      <w:pPr>
        <w:pStyle w:val="Normal"/>
        <w:spacing w:lineRule="auto" w:line="276"/>
        <w:jc w:val="both"/>
        <w:rPr/>
      </w:pPr>
      <w:r>
        <w:rPr>
          <w:rFonts w:cs="Arial" w:ascii="Verdana" w:hAnsi="Verdana"/>
          <w:b/>
          <w:bCs/>
          <w:color w:val="000000"/>
        </w:rPr>
        <w:t>9.2</w:t>
      </w:r>
      <w:r>
        <w:rPr>
          <w:rFonts w:cs="Arial" w:ascii="Verdana" w:hAnsi="Verdana"/>
          <w:color w:val="000000"/>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76"/>
        <w:jc w:val="both"/>
        <w:rPr/>
      </w:pPr>
      <w:r>
        <w:rPr>
          <w:rFonts w:cs="Arial" w:ascii="Verdana" w:hAnsi="Verdana"/>
          <w:b/>
          <w:bCs/>
          <w:color w:val="000000"/>
        </w:rPr>
        <w:t>9.3</w:t>
      </w:r>
      <w:r>
        <w:rPr>
          <w:rFonts w:cs="Arial" w:ascii="Verdana" w:hAnsi="Verdana"/>
          <w:color w:val="00000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rPr>
        <w:br/>
      </w:r>
      <w:r>
        <w:rPr>
          <w:rFonts w:cs="Arial" w:ascii="Verdana" w:hAnsi="Verdana"/>
          <w:color w:val="000000"/>
        </w:rPr>
        <w:t xml:space="preserve">for necessário à regularização das falhas ou </w:t>
      </w:r>
      <w:r>
        <w:rPr>
          <w:rFonts w:ascii="Verdana" w:hAnsi="Verdana"/>
        </w:rPr>
        <w:t>defeitos observados e encaminhando os apontamentos à autoridade competente para as providências cabíveis.</w:t>
      </w:r>
    </w:p>
    <w:p>
      <w:pPr>
        <w:pStyle w:val="Normal"/>
        <w:tabs>
          <w:tab w:val="clear" w:pos="708"/>
          <w:tab w:val="left" w:pos="378" w:leader="none"/>
        </w:tabs>
        <w:spacing w:lineRule="auto" w:line="276"/>
        <w:jc w:val="both"/>
        <w:rPr>
          <w:rFonts w:ascii="Verdana" w:hAnsi="Verdana" w:cs="Verdana"/>
          <w:b/>
          <w:bCs/>
          <w:i/>
          <w:i/>
          <w:iCs/>
        </w:rPr>
      </w:pPr>
      <w:r>
        <w:rPr>
          <w:rFonts w:cs="Verdana" w:ascii="Verdana" w:hAnsi="Verdana"/>
          <w:b/>
          <w:bCs/>
          <w:i/>
          <w:iCs/>
        </w:rPr>
        <w:t>9.4. No caso de interrupção das entregas, por parte da contratada, o gestor do contrato tomará as providências cabíveis, de acordo com as cláusulas do edital e do contrato.</w:t>
      </w:r>
    </w:p>
    <w:p>
      <w:pPr>
        <w:pStyle w:val="Normal"/>
        <w:tabs>
          <w:tab w:val="clear" w:pos="708"/>
          <w:tab w:val="left" w:pos="142" w:leader="none"/>
        </w:tabs>
        <w:spacing w:lineRule="auto" w:line="276"/>
        <w:jc w:val="both"/>
        <w:rPr>
          <w:rFonts w:ascii="Verdana" w:hAnsi="Verdana"/>
          <w:b/>
          <w:bCs/>
        </w:rPr>
      </w:pPr>
      <w:r>
        <w:rPr>
          <w:rFonts w:ascii="Verdana" w:hAnsi="Verdana"/>
          <w:b/>
          <w:bCs/>
        </w:rPr>
      </w:r>
    </w:p>
    <w:p>
      <w:pPr>
        <w:pStyle w:val="Normal"/>
        <w:spacing w:lineRule="auto" w:line="276"/>
        <w:jc w:val="both"/>
        <w:rPr>
          <w:rFonts w:ascii="Verdana" w:hAnsi="Verdana" w:cs="Verdana"/>
          <w:b/>
          <w:u w:val="single"/>
        </w:rPr>
      </w:pPr>
      <w:r>
        <w:rPr>
          <w:rFonts w:cs="Verdana" w:ascii="Verdana" w:hAnsi="Verdana"/>
          <w:b/>
          <w:u w:val="single"/>
        </w:rPr>
        <w:t>CLÁUSULA DÉCIMA – DAS PENALIDADES.</w:t>
      </w:r>
    </w:p>
    <w:p>
      <w:pPr>
        <w:pStyle w:val="Corpodetexto1"/>
        <w:overflowPunct w:val="false"/>
        <w:spacing w:lineRule="auto" w:line="276" w:before="0" w:after="0"/>
        <w:jc w:val="both"/>
        <w:textAlignment w:val="auto"/>
        <w:rPr/>
      </w:pPr>
      <w:r>
        <w:rPr>
          <w:rFonts w:cs="Verdana" w:ascii="Verdana" w:hAnsi="Verdana"/>
          <w:b/>
        </w:rPr>
        <w:t xml:space="preserve">10.1 </w:t>
      </w:r>
      <w:r>
        <w:rPr>
          <w:rFonts w:eastAsia="Batang;바탕" w:cs="Verdana" w:ascii="Verdana" w:hAnsi="Verdana"/>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jc w:val="both"/>
        <w:rPr/>
      </w:pPr>
      <w:r>
        <w:rPr>
          <w:rFonts w:cs="Verdana" w:ascii="Verdana" w:hAnsi="Verdana"/>
          <w:b/>
        </w:rPr>
        <w:t xml:space="preserve">10.2 </w:t>
      </w:r>
      <w:r>
        <w:rPr>
          <w:rFonts w:cs="Verdana" w:ascii="Verdana" w:hAnsi="Verdana"/>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rPr>
        <w:t>Lei 14.133/2021</w:t>
      </w:r>
      <w:r>
        <w:rPr>
          <w:rFonts w:cs="Verdana" w:ascii="Verdana" w:hAnsi="Verdana"/>
        </w:rPr>
        <w:t>, bem como multas pecuniárias estabelecidas neste instrumento contratual.</w:t>
      </w:r>
    </w:p>
    <w:p>
      <w:pPr>
        <w:pStyle w:val="Normal"/>
        <w:tabs>
          <w:tab w:val="clear" w:pos="708"/>
          <w:tab w:val="center" w:pos="4419" w:leader="none"/>
          <w:tab w:val="right" w:pos="8838" w:leader="none"/>
        </w:tabs>
        <w:overflowPunct w:val="false"/>
        <w:spacing w:lineRule="auto" w:line="276"/>
        <w:jc w:val="both"/>
        <w:textAlignment w:val="auto"/>
        <w:rPr/>
      </w:pPr>
      <w:r>
        <w:rPr>
          <w:rFonts w:cs="Verdana" w:ascii="Verdana" w:hAnsi="Verdana"/>
          <w:b/>
        </w:rPr>
        <w:t xml:space="preserve">10.3 </w:t>
      </w:r>
      <w:r>
        <w:rPr>
          <w:rFonts w:cs="Verdana" w:ascii="Verdana" w:hAnsi="Verdana"/>
        </w:rPr>
        <w:t>Os casos de multa obedecerão aos seguintes parâmetros:</w:t>
      </w:r>
    </w:p>
    <w:p>
      <w:pPr>
        <w:pStyle w:val="Normal"/>
        <w:spacing w:lineRule="auto" w:line="276"/>
        <w:jc w:val="both"/>
        <w:rPr/>
      </w:pPr>
      <w:r>
        <w:rPr>
          <w:rFonts w:eastAsia="Batang;바탕" w:cs="Verdana" w:ascii="Verdana" w:hAnsi="Verdana"/>
          <w:b/>
          <w:bCs/>
        </w:rPr>
        <w:t>a)</w:t>
      </w:r>
      <w:r>
        <w:rPr>
          <w:rFonts w:eastAsia="Batang;바탕" w:cs="Verdana" w:ascii="Verdana" w:hAnsi="Verdana"/>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jc w:val="both"/>
        <w:rPr/>
      </w:pPr>
      <w:r>
        <w:rPr>
          <w:rFonts w:eastAsia="Batang;바탕" w:cs="Verdana" w:ascii="Verdana" w:hAnsi="Verdana"/>
          <w:b/>
        </w:rPr>
        <w:t>b)</w:t>
      </w:r>
      <w:r>
        <w:rPr>
          <w:rFonts w:eastAsia="Batang;바탕" w:cs="Verdana" w:ascii="Verdana" w:hAnsi="Verdana"/>
        </w:rPr>
        <w:t xml:space="preserve"> Caso a contratada não venha a cumprir o prazo de entrega pactuado será a ela aplicada a multa de 1% (um por cento) por dia de atraso, estabelecida sobre o valor total do contrato.</w:t>
      </w:r>
    </w:p>
    <w:p>
      <w:pPr>
        <w:pStyle w:val="Normal"/>
        <w:spacing w:lineRule="auto" w:line="276"/>
        <w:jc w:val="both"/>
        <w:rPr/>
      </w:pPr>
      <w:r>
        <w:rPr>
          <w:rFonts w:eastAsia="Batang;바탕" w:cs="Verdana" w:ascii="Verdana" w:hAnsi="Verdana"/>
          <w:b/>
          <w:bCs/>
        </w:rPr>
        <w:t>c)</w:t>
      </w:r>
      <w:r>
        <w:rPr>
          <w:rFonts w:eastAsia="Batang;바탕" w:cs="Verdana" w:ascii="Verdana" w:hAnsi="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jc w:val="both"/>
        <w:rPr/>
      </w:pPr>
      <w:r>
        <w:rPr>
          <w:rFonts w:cs="Verdana" w:ascii="Verdana" w:hAnsi="Verdana"/>
          <w:b/>
        </w:rPr>
        <w:t>d)</w:t>
      </w:r>
      <w:r>
        <w:rPr>
          <w:rFonts w:cs="Verdana" w:ascii="Verdana" w:hAnsi="Verdana"/>
        </w:rPr>
        <w:t xml:space="preserve"> A multa deverá ser recolhida no prazo máximo de 05 (cinco) dias úteis, a contar da data do recebimento da comunicação enviada pelo CONTRATANTE.</w:t>
      </w:r>
    </w:p>
    <w:p>
      <w:pPr>
        <w:pStyle w:val="Normal"/>
        <w:spacing w:lineRule="auto" w:line="276"/>
        <w:jc w:val="both"/>
        <w:rPr/>
      </w:pPr>
      <w:r>
        <w:rPr>
          <w:rFonts w:cs="Verdana" w:ascii="Verdana" w:hAnsi="Verdana"/>
          <w:b/>
        </w:rPr>
        <w:t>e)</w:t>
      </w:r>
      <w:r>
        <w:rPr>
          <w:rFonts w:cs="Verdana" w:ascii="Verdana" w:hAnsi="Verdana"/>
        </w:rPr>
        <w:t xml:space="preserve"> O valor da multa poderá ser descontado do crédito existente em favor da contratada. </w:t>
      </w:r>
    </w:p>
    <w:p>
      <w:pPr>
        <w:pStyle w:val="Normal"/>
        <w:overflowPunct w:val="false"/>
        <w:spacing w:lineRule="auto" w:line="276"/>
        <w:jc w:val="both"/>
        <w:textAlignment w:val="auto"/>
        <w:rPr/>
      </w:pPr>
      <w:r>
        <w:rPr>
          <w:rFonts w:cs="Verdana" w:ascii="Verdana" w:hAnsi="Verdana"/>
          <w:b/>
        </w:rPr>
        <w:t>f)</w:t>
      </w:r>
      <w:r>
        <w:rPr>
          <w:rFonts w:cs="Verdana" w:ascii="Verdana" w:hAnsi="Verdana"/>
        </w:rPr>
        <w:t xml:space="preserve"> As multas e outras sanções aplicadas só poderão ser relevadas motivadamente e por conveniência administrativa.</w:t>
      </w:r>
    </w:p>
    <w:p>
      <w:pPr>
        <w:pStyle w:val="Normal"/>
        <w:overflowPunct w:val="false"/>
        <w:spacing w:lineRule="auto" w:line="276"/>
        <w:jc w:val="both"/>
        <w:textAlignment w:val="auto"/>
        <w:rPr/>
      </w:pPr>
      <w:r>
        <w:rPr>
          <w:rFonts w:cs="Verdana" w:ascii="Verdana" w:hAnsi="Verdana"/>
          <w:b/>
        </w:rPr>
        <w:t>g)</w:t>
      </w:r>
      <w:r>
        <w:rPr>
          <w:rFonts w:cs="Verdana" w:ascii="Verdana" w:hAnsi="Verdana"/>
        </w:rPr>
        <w:t xml:space="preserve"> Em qualquer hipótese de aplicação de sanções será assegurado a CONTRATADA o contraditório e ampla defesa.</w:t>
      </w:r>
    </w:p>
    <w:p>
      <w:pPr>
        <w:pStyle w:val="Normal"/>
        <w:overflowPunct w:val="false"/>
        <w:spacing w:lineRule="auto" w:line="276"/>
        <w:jc w:val="both"/>
        <w:textAlignment w:val="auto"/>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DÉCIMA PRIMEIRA – RESCISÃO DO CONTRATO</w:t>
      </w:r>
    </w:p>
    <w:p>
      <w:pPr>
        <w:pStyle w:val="Normal"/>
        <w:spacing w:lineRule="auto" w:line="276"/>
        <w:jc w:val="both"/>
        <w:rPr/>
      </w:pPr>
      <w:r>
        <w:rPr>
          <w:rFonts w:cs="Verdana" w:ascii="Verdana" w:hAnsi="Verdana"/>
          <w:b/>
        </w:rPr>
        <w:t xml:space="preserve">11.1 </w:t>
      </w:r>
      <w:r>
        <w:rPr>
          <w:rFonts w:cs="Verdana" w:ascii="Verdana" w:hAnsi="Verdana"/>
        </w:rPr>
        <w:t>A inexecução total ou parcial do contrato enseja a sua rescisão, com as consequências contratuais e as previstas em lei, bem como a aplicação das multas e outras penalidades previstas neste instrumento.</w:t>
      </w:r>
    </w:p>
    <w:p>
      <w:pPr>
        <w:pStyle w:val="Normal"/>
        <w:spacing w:lineRule="auto" w:line="276"/>
        <w:jc w:val="both"/>
        <w:rPr/>
      </w:pPr>
      <w:r>
        <w:rPr>
          <w:rFonts w:cs="Verdana" w:ascii="Verdana" w:hAnsi="Verdana"/>
          <w:b/>
        </w:rPr>
        <w:t>11.1.1</w:t>
      </w:r>
      <w:r>
        <w:rPr>
          <w:rFonts w:cs="Verdana" w:ascii="Verdana" w:hAnsi="Verdana"/>
        </w:rPr>
        <w:t xml:space="preserve"> </w:t>
      </w:r>
      <w:r>
        <w:rPr>
          <w:rFonts w:cs="Verdana" w:ascii="Verdana" w:hAnsi="Verdana"/>
          <w:b/>
          <w:u w:val="single"/>
        </w:rPr>
        <w:t>Constitui motivos para rescisão deste contrato:</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a) </w:t>
      </w:r>
      <w:r>
        <w:rPr>
          <w:rFonts w:cs="Verdana" w:ascii="Verdana" w:hAnsi="Verdana"/>
        </w:rPr>
        <w:t>O não cumprimento de cláusulas contratuais, especificações ou prazos;</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b) </w:t>
      </w:r>
      <w:r>
        <w:rPr>
          <w:rFonts w:cs="Verdana" w:ascii="Verdana" w:hAnsi="Verdana"/>
        </w:rPr>
        <w:t>O cumprimento irregular de cláusulas contratuais, especificações ou prazos;</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c) </w:t>
      </w:r>
      <w:r>
        <w:rPr>
          <w:rFonts w:cs="Verdana" w:ascii="Verdana" w:hAnsi="Verdana"/>
        </w:rPr>
        <w:t>A subcontratação do seu objeto, sem a devida autorização do CONTRATANTE;</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d) </w:t>
      </w:r>
      <w:r>
        <w:rPr>
          <w:rFonts w:cs="Verdana" w:ascii="Verdana" w:hAnsi="Verdana"/>
        </w:rPr>
        <w:t>A decretação de falência ou instauração de insolvência civil;</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e) </w:t>
      </w:r>
      <w:r>
        <w:rPr>
          <w:rFonts w:cs="Verdana" w:ascii="Verdana" w:hAnsi="Verdana"/>
        </w:rPr>
        <w:t>A dissolução da sociedade;</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f) </w:t>
      </w:r>
      <w:r>
        <w:rPr>
          <w:rFonts w:cs="Verdana" w:ascii="Verdana" w:hAnsi="Verdana"/>
        </w:rPr>
        <w:t>A alteração social ou modificação da finalidade ou da estrutura da empresa que, a juízo da CONTRATANTE, prejudique a execução do contrato;</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g) </w:t>
      </w:r>
      <w:r>
        <w:rPr>
          <w:rFonts w:cs="Verdana" w:ascii="Verdana" w:hAnsi="Verdana"/>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h) </w:t>
      </w:r>
      <w:r>
        <w:rPr>
          <w:rFonts w:cs="Verdana" w:ascii="Verdana" w:hAnsi="Verdana"/>
        </w:rPr>
        <w:t>A ocorrência de caso fortuito ou de força maior, regularmente comprovada, impeditiva da execução do contrato;</w:t>
      </w:r>
    </w:p>
    <w:p>
      <w:pPr>
        <w:pStyle w:val="Normal"/>
        <w:numPr>
          <w:ilvl w:val="2"/>
          <w:numId w:val="2"/>
        </w:numPr>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rPr>
        <w:t>A decisão da autoridade competente, relativa à rescisão do contrato, deverá ser precedida de justificativa fundamentada, assegurado o contraditório e a ampla defesa.</w:t>
      </w:r>
    </w:p>
    <w:p>
      <w:pPr>
        <w:pStyle w:val="Normal"/>
        <w:spacing w:lineRule="auto" w:line="276"/>
        <w:jc w:val="both"/>
        <w:rPr/>
      </w:pPr>
      <w:r>
        <w:rPr>
          <w:rFonts w:cs="Verdana" w:ascii="Verdana" w:hAnsi="Verdana"/>
          <w:b/>
        </w:rPr>
        <w:t xml:space="preserve">11.1.2 </w:t>
      </w:r>
      <w:r>
        <w:rPr>
          <w:rFonts w:cs="Verdana" w:ascii="Verdana" w:hAnsi="Verdana"/>
        </w:rPr>
        <w:t>A rescisão do contrato poderá ser:</w:t>
      </w:r>
    </w:p>
    <w:p>
      <w:pPr>
        <w:pStyle w:val="Normal"/>
        <w:numPr>
          <w:ilvl w:val="0"/>
          <w:numId w:val="3"/>
        </w:numPr>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rPr>
        <w:t>Determinada por ato unilateral e escrito do CONTRATANTE, nos casos específicos enumerados neste contrato, ou razões de interesse público justificado;</w:t>
      </w:r>
    </w:p>
    <w:p>
      <w:pPr>
        <w:pStyle w:val="Normal"/>
        <w:numPr>
          <w:ilvl w:val="0"/>
          <w:numId w:val="3"/>
        </w:numPr>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rPr>
        <w:t>Amigável, por acordo entre as partes e reduzido a termo no processo, desde que haja conveniência para a Administração;</w:t>
      </w:r>
    </w:p>
    <w:p>
      <w:pPr>
        <w:pStyle w:val="Normal"/>
        <w:numPr>
          <w:ilvl w:val="0"/>
          <w:numId w:val="3"/>
        </w:numPr>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rPr>
        <w:t>Judicial, nos termos da legislação.</w:t>
      </w:r>
    </w:p>
    <w:p>
      <w:pPr>
        <w:pStyle w:val="Normal"/>
        <w:spacing w:lineRule="auto" w:line="276"/>
        <w:jc w:val="both"/>
        <w:rPr/>
      </w:pPr>
      <w:r>
        <w:rPr>
          <w:rFonts w:cs="Verdana" w:ascii="Verdana" w:hAnsi="Verdana"/>
          <w:b/>
        </w:rPr>
        <w:t xml:space="preserve">11.2 </w:t>
      </w:r>
      <w:r>
        <w:rPr>
          <w:rFonts w:cs="Verdana" w:ascii="Verdana" w:hAnsi="Verdana"/>
        </w:rPr>
        <w:t>A rescisão administrativa ou amigável deverá ser precedida de autorização escrita e fundamentada da CONTRATANTE.</w:t>
      </w:r>
    </w:p>
    <w:p>
      <w:pPr>
        <w:pStyle w:val="Normal"/>
        <w:spacing w:lineRule="auto" w:line="276"/>
        <w:jc w:val="both"/>
        <w:rPr/>
      </w:pPr>
      <w:r>
        <w:rPr>
          <w:rFonts w:cs="Verdana" w:ascii="Verdana" w:hAnsi="Verdana"/>
          <w:b/>
        </w:rPr>
        <w:t xml:space="preserve">11.3 </w:t>
      </w:r>
      <w:r>
        <w:rPr>
          <w:rFonts w:cs="Verdana" w:ascii="Verdana" w:hAnsi="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jc w:val="both"/>
        <w:rPr/>
      </w:pPr>
      <w:r>
        <w:rPr>
          <w:rFonts w:cs="Verdana" w:ascii="Verdana" w:hAnsi="Verdana"/>
          <w:b/>
          <w:u w:val="single"/>
        </w:rPr>
        <w:t>CLÁUSULA DÉCIMA SEGUNDA – DA LEGISLAÇÃO APLICÁVEL</w:t>
      </w:r>
    </w:p>
    <w:p>
      <w:pPr>
        <w:pStyle w:val="Normal"/>
        <w:spacing w:lineRule="auto" w:line="276"/>
        <w:jc w:val="both"/>
        <w:rPr/>
      </w:pPr>
      <w:r>
        <w:rPr>
          <w:rFonts w:cs="Verdana" w:ascii="Verdana" w:hAnsi="Verdana"/>
          <w:b/>
        </w:rPr>
        <w:t xml:space="preserve">12.1 </w:t>
      </w:r>
      <w:r>
        <w:rPr>
          <w:rFonts w:cs="Verdana" w:ascii="Verdana" w:hAnsi="Verdana"/>
        </w:rPr>
        <w:t>Os casos omissos nesse Contrato serão resolvidos aplicando a Lei 14.133/2021 consolidada e demais legislações aplicáveis à espécie, no que couberem.</w:t>
      </w:r>
    </w:p>
    <w:p>
      <w:pPr>
        <w:pStyle w:val="Normal"/>
        <w:spacing w:lineRule="auto" w:line="276"/>
        <w:jc w:val="both"/>
        <w:rPr>
          <w:rFonts w:ascii="Verdana" w:hAnsi="Verdana"/>
        </w:rPr>
      </w:pPr>
      <w:r>
        <w:rPr>
          <w:rFonts w:ascii="Verdana" w:hAnsi="Verdana"/>
        </w:rPr>
      </w:r>
    </w:p>
    <w:p>
      <w:pPr>
        <w:pStyle w:val="Normal"/>
        <w:tabs>
          <w:tab w:val="clear" w:pos="708"/>
          <w:tab w:val="left" w:pos="-2268" w:leader="none"/>
        </w:tabs>
        <w:spacing w:lineRule="auto" w:line="276"/>
        <w:jc w:val="both"/>
        <w:rPr>
          <w:rFonts w:ascii="Verdana" w:hAnsi="Verdana" w:cs="Verdana"/>
          <w:b/>
          <w:u w:val="single"/>
        </w:rPr>
      </w:pPr>
      <w:r>
        <w:rPr>
          <w:rFonts w:cs="Verdana" w:ascii="Verdana" w:hAnsi="Verdana"/>
          <w:b/>
          <w:u w:val="single"/>
        </w:rPr>
        <w:t>CLÁUSULA DÉCIMA TERCEIRA – SUB CONTRATAÇÃO</w:t>
      </w:r>
    </w:p>
    <w:p>
      <w:pPr>
        <w:pStyle w:val="Normal"/>
        <w:tabs>
          <w:tab w:val="clear" w:pos="708"/>
          <w:tab w:val="left" w:pos="-2268" w:leader="none"/>
        </w:tabs>
        <w:spacing w:lineRule="auto" w:line="276"/>
        <w:jc w:val="both"/>
        <w:rPr/>
      </w:pPr>
      <w:r>
        <w:rPr>
          <w:rFonts w:cs="Verdana" w:ascii="Verdana" w:hAnsi="Verdana"/>
          <w:b/>
        </w:rPr>
        <w:t xml:space="preserve">13.1 </w:t>
      </w:r>
      <w:r>
        <w:rPr>
          <w:rFonts w:cs="Verdana" w:ascii="Verdana" w:hAnsi="Verdana"/>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jc w:val="both"/>
        <w:rPr>
          <w:rFonts w:ascii="Verdana" w:hAnsi="Verdana"/>
        </w:rPr>
      </w:pPr>
      <w:r>
        <w:rPr>
          <w:rFonts w:ascii="Verdana" w:hAnsi="Verdana"/>
        </w:rPr>
      </w:r>
    </w:p>
    <w:p>
      <w:pPr>
        <w:pStyle w:val="Ttulo4"/>
        <w:numPr>
          <w:ilvl w:val="0"/>
          <w:numId w:val="0"/>
        </w:numPr>
        <w:spacing w:lineRule="auto" w:line="276" w:before="0" w:after="0"/>
        <w:ind w:left="0" w:hanging="0"/>
        <w:jc w:val="both"/>
        <w:rPr>
          <w:rFonts w:ascii="Verdana" w:hAnsi="Verdana" w:cs="Verdana"/>
          <w:sz w:val="20"/>
          <w:szCs w:val="20"/>
          <w:u w:val="single"/>
        </w:rPr>
      </w:pPr>
      <w:r>
        <w:rPr>
          <w:rFonts w:cs="Verdana" w:ascii="Verdana" w:hAnsi="Verdana"/>
          <w:sz w:val="20"/>
          <w:szCs w:val="20"/>
          <w:u w:val="single"/>
        </w:rPr>
        <w:t>CLÁUSULA DÉCIMA QUARTA – DO ADITAMENTO</w:t>
      </w:r>
    </w:p>
    <w:p>
      <w:pPr>
        <w:pStyle w:val="Normal"/>
        <w:spacing w:lineRule="auto" w:line="276"/>
        <w:jc w:val="both"/>
        <w:rPr/>
      </w:pPr>
      <w:r>
        <w:rPr>
          <w:rFonts w:cs="Verdana" w:ascii="Verdana" w:hAnsi="Verdana"/>
          <w:b/>
        </w:rPr>
        <w:t xml:space="preserve">14.1 </w:t>
      </w:r>
      <w:r>
        <w:rPr>
          <w:rFonts w:cs="Verdana" w:ascii="Verdana" w:hAnsi="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DÉCIMA QUINTA – DA PUBLICAÇÃO</w:t>
      </w:r>
    </w:p>
    <w:p>
      <w:pPr>
        <w:pStyle w:val="Normal"/>
        <w:spacing w:lineRule="auto" w:line="276"/>
        <w:jc w:val="both"/>
        <w:rPr/>
      </w:pPr>
      <w:r>
        <w:rPr>
          <w:rFonts w:cs="Verdana" w:ascii="Verdana" w:hAnsi="Verdana"/>
          <w:b/>
        </w:rPr>
        <w:t>15.1</w:t>
      </w:r>
      <w:r>
        <w:rPr>
          <w:rFonts w:cs="Verdana" w:ascii="Verdana" w:hAnsi="Verdana"/>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jc w:val="both"/>
        <w:rPr>
          <w:rFonts w:ascii="Verdana" w:hAnsi="Verdana"/>
        </w:rPr>
      </w:pPr>
      <w:r>
        <w:rPr>
          <w:rFonts w:ascii="Verdana" w:hAnsi="Verdana"/>
        </w:rPr>
      </w:r>
    </w:p>
    <w:p>
      <w:pPr>
        <w:pStyle w:val="Ttulo3"/>
        <w:numPr>
          <w:ilvl w:val="0"/>
          <w:numId w:val="0"/>
        </w:numPr>
        <w:spacing w:lineRule="auto" w:line="276"/>
        <w:ind w:left="0" w:hanging="0"/>
        <w:rPr>
          <w:rFonts w:ascii="Verdana" w:hAnsi="Verdana" w:cs="Verdana"/>
          <w:b/>
          <w:sz w:val="20"/>
          <w:u w:val="single"/>
        </w:rPr>
      </w:pPr>
      <w:r>
        <w:rPr>
          <w:rFonts w:cs="Verdana" w:ascii="Verdana" w:hAnsi="Verdana"/>
          <w:b/>
          <w:sz w:val="20"/>
          <w:u w:val="single"/>
        </w:rPr>
        <w:t>CLÁUSULA DÉCIMA SEXTA – FORO</w:t>
      </w:r>
    </w:p>
    <w:p>
      <w:pPr>
        <w:pStyle w:val="Normal"/>
        <w:spacing w:lineRule="auto" w:line="276"/>
        <w:jc w:val="both"/>
        <w:rPr/>
      </w:pPr>
      <w:r>
        <w:rPr>
          <w:rFonts w:cs="Verdana" w:ascii="Verdana" w:hAnsi="Verdana"/>
          <w:b/>
        </w:rPr>
        <w:t>16.1</w:t>
      </w:r>
      <w:r>
        <w:rPr>
          <w:rFonts w:cs="Verdana" w:ascii="Verdana" w:hAnsi="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jc w:val="both"/>
        <w:rPr>
          <w:rFonts w:ascii="Verdana" w:hAnsi="Verdana" w:cs="Verdana"/>
        </w:rPr>
      </w:pPr>
      <w:r>
        <w:rPr>
          <w:rFonts w:cs="Verdana" w:ascii="Verdana" w:hAnsi="Verdana"/>
        </w:rPr>
      </w:r>
    </w:p>
    <w:p>
      <w:pPr>
        <w:pStyle w:val="Normal"/>
        <w:tabs>
          <w:tab w:val="clear" w:pos="708"/>
          <w:tab w:val="left" w:pos="-2268" w:leader="none"/>
        </w:tabs>
        <w:spacing w:lineRule="auto" w:line="276"/>
        <w:jc w:val="both"/>
        <w:rPr>
          <w:rFonts w:ascii="Verdana" w:hAnsi="Verdana" w:cs="Verdana"/>
        </w:rPr>
      </w:pPr>
      <w:r>
        <w:rPr>
          <w:rFonts w:cs="Verdana" w:ascii="Verdana" w:hAnsi="Verdana"/>
        </w:rPr>
        <w:t>E, por estarem justos, combinados, assinam o presente instrumento, após lido e achado conforme, na presença das testemunhas abaixo assinadas.</w:t>
      </w:r>
    </w:p>
    <w:p>
      <w:pPr>
        <w:pStyle w:val="Normal"/>
        <w:spacing w:lineRule="auto" w:line="276"/>
        <w:rPr>
          <w:rFonts w:ascii="Verdana" w:hAnsi="Verdana" w:cs="Verdana"/>
        </w:rPr>
      </w:pPr>
      <w:r>
        <w:rPr>
          <w:rFonts w:cs="Verdana" w:ascii="Verdana" w:hAnsi="Verdana"/>
        </w:rPr>
      </w:r>
    </w:p>
    <w:p>
      <w:pPr>
        <w:pStyle w:val="Normal"/>
        <w:spacing w:lineRule="auto" w:line="276"/>
        <w:jc w:val="right"/>
        <w:rPr>
          <w:rFonts w:ascii="Verdana" w:hAnsi="Verdana" w:cs="Verdana"/>
        </w:rPr>
      </w:pPr>
      <w:r>
        <w:rPr>
          <w:rFonts w:cs="Verdana" w:ascii="Verdana" w:hAnsi="Verdana"/>
        </w:rPr>
        <w:t>São Gabriel da Palha, em .............. de 2025.</w:t>
      </w:r>
    </w:p>
    <w:p>
      <w:pPr>
        <w:pStyle w:val="Normal"/>
        <w:spacing w:lineRule="auto" w:line="276"/>
        <w:jc w:val="center"/>
        <w:rPr>
          <w:rFonts w:ascii="Verdana" w:hAnsi="Verdana" w:cs="Verdana"/>
        </w:rPr>
      </w:pPr>
      <w:r>
        <w:rPr>
          <w:rFonts w:cs="Verdana" w:ascii="Verdana" w:hAnsi="Verdana"/>
        </w:rPr>
      </w:r>
    </w:p>
    <w:p>
      <w:pPr>
        <w:pStyle w:val="Normal"/>
        <w:spacing w:lineRule="auto" w:line="276"/>
        <w:jc w:val="center"/>
        <w:rPr>
          <w:rFonts w:ascii="Verdana" w:hAnsi="Verdana" w:cs="Verdana"/>
          <w:b/>
        </w:rPr>
      </w:pPr>
      <w:r>
        <w:rPr>
          <w:rFonts w:cs="Verdana" w:ascii="Verdana" w:hAnsi="Verdana"/>
          <w:b/>
        </w:rPr>
        <w:t>Prefeito Municipal</w:t>
      </w:r>
    </w:p>
    <w:p>
      <w:pPr>
        <w:pStyle w:val="Normal"/>
        <w:spacing w:lineRule="auto" w:line="276"/>
        <w:jc w:val="center"/>
        <w:rPr>
          <w:rFonts w:ascii="Verdana" w:hAnsi="Verdana" w:cs="Verdana"/>
          <w:b/>
        </w:rPr>
      </w:pPr>
      <w:r>
        <w:rPr>
          <w:rFonts w:cs="Verdana" w:ascii="Verdana" w:hAnsi="Verdana"/>
          <w:b/>
        </w:rPr>
        <w:t>CONTRATANTE</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t>CONTRATADO</w:t>
      </w:r>
    </w:p>
    <w:p>
      <w:pPr>
        <w:pStyle w:val="Normal"/>
        <w:spacing w:lineRule="auto" w:line="276"/>
        <w:jc w:val="center"/>
        <w:rPr>
          <w:rFonts w:ascii="Verdana" w:hAnsi="Verdana" w:cs="Verdana"/>
          <w:b/>
        </w:rPr>
      </w:pPr>
      <w:r>
        <w:rPr>
          <w:rFonts w:cs="Verdana" w:ascii="Verdana" w:hAnsi="Verdana"/>
          <w:b/>
        </w:rPr>
      </w:r>
    </w:p>
    <w:tbl>
      <w:tblPr>
        <w:tblW w:w="9072"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76"/>
              <w:rPr>
                <w:rFonts w:ascii="Verdana" w:hAnsi="Verdana" w:cs="Verdana"/>
              </w:rPr>
            </w:pPr>
            <w:r>
              <w:rPr>
                <w:rFonts w:cs="Verdana" w:ascii="Verdana" w:hAnsi="Verdana"/>
              </w:rPr>
              <w:t>Testemunhas:</w:t>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pacing w:lineRule="auto" w:line="276"/>
              <w:rPr>
                <w:rFonts w:ascii="Verdana" w:hAnsi="Verdana" w:cs="Verdana"/>
              </w:rPr>
            </w:pPr>
            <w:r>
              <w:rPr>
                <w:rFonts w:cs="Verdana" w:ascii="Verdana" w:hAnsi="Verdana"/>
              </w:rPr>
              <w:t>CPF:</w:t>
            </w:r>
          </w:p>
        </w:tc>
      </w:tr>
      <w:tr>
        <w:trPr/>
        <w:tc>
          <w:tcPr>
            <w:tcW w:w="3959" w:type="dxa"/>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napToGrid w:val="false"/>
              <w:spacing w:lineRule="auto" w:line="276"/>
              <w:rPr>
                <w:rFonts w:ascii="Verdana" w:hAnsi="Verdana" w:cs="Verdana"/>
              </w:rPr>
            </w:pPr>
            <w:r>
              <w:rPr>
                <w:rFonts w:cs="Verdana" w:ascii="Verdana" w:hAnsi="Verdana"/>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pacing w:lineRule="auto" w:line="276"/>
              <w:rPr>
                <w:rFonts w:ascii="Verdana" w:hAnsi="Verdana" w:cs="Verdana"/>
              </w:rPr>
            </w:pPr>
            <w:r>
              <w:rPr>
                <w:rFonts w:cs="Verdana" w:ascii="Verdana" w:hAnsi="Verdana"/>
              </w:rPr>
            </w:r>
          </w:p>
        </w:tc>
      </w:tr>
    </w:tbl>
    <w:p>
      <w:pPr>
        <w:pStyle w:val="Normal"/>
        <w:spacing w:lineRule="auto" w:line="276"/>
        <w:rPr>
          <w:rFonts w:ascii="Verdana" w:hAnsi="Verdana"/>
        </w:rPr>
      </w:pPr>
      <w:r>
        <w:rPr>
          <w:rFonts w:ascii="Verdana" w:hAnsi="Verdana"/>
        </w:rPr>
      </w:r>
    </w:p>
    <w:sectPr>
      <w:headerReference w:type="default" r:id="rId3"/>
      <w:footerReference w:type="default" r:id="rId4"/>
      <w:type w:val="nextPage"/>
      <w:pgSz w:w="11906" w:h="16838"/>
      <w:pgMar w:left="1701" w:right="1134" w:gutter="0" w:header="284" w:top="1843" w:footer="250" w:bottom="758"/>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Verdana">
    <w:charset w:val="01"/>
    <w:family w:val="swiss"/>
    <w:pitch w:val="variable"/>
  </w:font>
  <w:font w:name="Arial Narrow">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Cabealho"/>
      <w:jc w:val="center"/>
      <w:rPr>
        <w:rFonts w:ascii="Arial" w:hAnsi="Arial" w:cs="Arial"/>
        <w:b/>
        <w:sz w:val="16"/>
        <w:szCs w:val="16"/>
      </w:rPr>
    </w:pPr>
    <w:r>
      <w:rPr>
        <w:rFonts w:cs="Arial" w:ascii="Arial" w:hAnsi="Arial"/>
        <w:b/>
        <w:sz w:val="16"/>
        <w:szCs w:val="16"/>
      </w:rPr>
      <w:t>Telefax 0(xx) 27 3727-1366.</w:t>
    </w:r>
  </w:p>
  <w:p>
    <w:pPr>
      <w:pStyle w:val="Cabealho"/>
      <w:jc w:val="center"/>
      <w:rPr/>
    </w:pPr>
    <w:hyperlink r:id="rId1">
      <w:r>
        <w:rPr>
          <w:rStyle w:val="LinkdaInternet"/>
          <w:rFonts w:cs="Arial" w:ascii="Arial" w:hAnsi="Arial"/>
          <w:b/>
          <w:sz w:val="16"/>
          <w:szCs w:val="16"/>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9">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Cabealho"/>
      <w:rPr>
        <w:rFonts w:ascii="Arial" w:hAnsi="Arial" w:cs="Arial"/>
        <w:b/>
      </w:rPr>
    </w:pPr>
    <w:r>
      <w:rPr>
        <w:rFonts w:cs="Arial" w:ascii="Arial" w:hAnsi="Arial"/>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4"/>
        <w:i w:val="false"/>
        <w:b/>
        <w:szCs w:val="24"/>
        <w:rFonts w:ascii="Arial" w:hAnsi="Arial" w:cs="Arial"/>
        <w:color w:val="000000"/>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hanging="0"/>
      </w:pPr>
      <w:rPr>
        <w:sz w:val="20"/>
        <w:i w:val="false"/>
        <w:b/>
        <w:szCs w:val="20"/>
        <w:rFonts w:ascii="Arial" w:hAnsi="Arial" w:cs="Arial"/>
        <w:color w:val="000000"/>
      </w:rPr>
    </w:lvl>
    <w:lvl w:ilvl="3">
      <w:start w:val="1"/>
      <w:numFmt w:val="decimal"/>
      <w:lvlText w:val="%3.%4."/>
      <w:lvlJc w:val="left"/>
      <w:pPr>
        <w:tabs>
          <w:tab w:val="num" w:pos="3225"/>
        </w:tabs>
        <w:ind w:left="3225" w:hanging="360"/>
      </w:pPr>
      <w:rPr/>
    </w:lvl>
    <w:lvl w:ilvl="4">
      <w:start w:val="1"/>
      <w:numFmt w:val="lowerLetter"/>
      <w:lvlText w:val="%4.%5."/>
      <w:lvlJc w:val="left"/>
      <w:pPr>
        <w:tabs>
          <w:tab w:val="num" w:pos="3945"/>
        </w:tabs>
        <w:ind w:left="3945" w:hanging="360"/>
      </w:pPr>
      <w:rPr/>
    </w:lvl>
    <w:lvl w:ilvl="5">
      <w:start w:val="1"/>
      <w:numFmt w:val="lowerRoman"/>
      <w:lvlText w:val="%5.%6."/>
      <w:lvlJc w:val="right"/>
      <w:pPr>
        <w:tabs>
          <w:tab w:val="num" w:pos="4665"/>
        </w:tabs>
        <w:ind w:left="4665" w:hanging="180"/>
      </w:pPr>
      <w:rPr/>
    </w:lvl>
    <w:lvl w:ilvl="6">
      <w:start w:val="1"/>
      <w:numFmt w:val="decimal"/>
      <w:lvlText w:val="%6.%7."/>
      <w:lvlJc w:val="left"/>
      <w:pPr>
        <w:tabs>
          <w:tab w:val="num" w:pos="5385"/>
        </w:tabs>
        <w:ind w:left="5385" w:hanging="360"/>
      </w:pPr>
      <w:rPr/>
    </w:lvl>
    <w:lvl w:ilvl="7">
      <w:start w:val="1"/>
      <w:numFmt w:val="lowerLetter"/>
      <w:lvlText w:val="%7.%8."/>
      <w:lvlJc w:val="left"/>
      <w:pPr>
        <w:tabs>
          <w:tab w:val="num" w:pos="6105"/>
        </w:tabs>
        <w:ind w:left="6105" w:hanging="360"/>
      </w:pPr>
      <w:rPr/>
    </w:lvl>
    <w:lvl w:ilvl="8">
      <w:start w:val="1"/>
      <w:numFmt w:val="lowerRoman"/>
      <w:lvlText w:val="%8.%9."/>
      <w:lvlJc w:val="right"/>
      <w:pPr>
        <w:tabs>
          <w:tab w:val="num" w:pos="6825"/>
        </w:tabs>
        <w:ind w:left="6825" w:hanging="180"/>
      </w:pPr>
      <w:rPr/>
    </w:lvl>
  </w:abstractNum>
  <w:abstractNum w:abstractNumId="3">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0"/>
      <w:sz w:val="20"/>
      <w:szCs w:val="20"/>
      <w:lang w:eastAsia="zh-CN" w:val="pt-BR" w:bidi="ar-SA"/>
    </w:rPr>
  </w:style>
  <w:style w:type="paragraph" w:styleId="Ttulo1">
    <w:name w:val="Heading 1"/>
    <w:basedOn w:val="Normal"/>
    <w:next w:val="Normal"/>
    <w:uiPriority w:val="9"/>
    <w:qFormat/>
    <w:pPr>
      <w:keepNext w:val="true"/>
      <w:numPr>
        <w:ilvl w:val="0"/>
        <w:numId w:val="1"/>
      </w:numPr>
      <w:overflowPunct w:val="false"/>
      <w:jc w:val="both"/>
      <w:textAlignment w:val="auto"/>
      <w:outlineLvl w:val="0"/>
    </w:pPr>
    <w:rPr>
      <w:sz w:val="24"/>
    </w:rPr>
  </w:style>
  <w:style w:type="paragraph" w:styleId="Ttulo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Ttulo4">
    <w:name w:val="Heading 4"/>
    <w:basedOn w:val="Normal"/>
    <w:next w:val="Normal"/>
    <w:uiPriority w:val="9"/>
    <w:unhideWhenUsed/>
    <w:qFormat/>
    <w:pPr>
      <w:keepNext w:val="true"/>
      <w:numPr>
        <w:ilvl w:val="3"/>
        <w:numId w:val="1"/>
      </w:numPr>
      <w:overflowPunct w:val="false"/>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InternetLink" w:customStyle="1">
    <w:name w:val="Internet Link"/>
    <w:qFormat/>
    <w:rPr>
      <w:color w:val="0000FF"/>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InternetLink1" w:customStyle="1">
    <w:name w:val="Internet Link1"/>
    <w:qFormat/>
    <w:rPr>
      <w:color w:val="000080"/>
      <w:u w:val="single"/>
    </w:rPr>
  </w:style>
  <w:style w:type="character" w:styleId="Marcadores" w:customStyle="1">
    <w:name w:val="Marcadores"/>
    <w:qFormat/>
    <w:rPr>
      <w:rFonts w:ascii="OpenSymbol" w:hAnsi="OpenSymbol" w:eastAsia="OpenSymbol" w:cs="OpenSymbol"/>
    </w:rPr>
  </w:style>
  <w:style w:type="character" w:styleId="LinkdaInternet">
    <w:name w:val="Hyperlink"/>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tLeast" w:line="240"/>
      <w:jc w:val="both"/>
    </w:pPr>
    <w:rPr>
      <w:sz w:val="24"/>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uiPriority w:val="10"/>
    <w:qFormat/>
    <w:pPr>
      <w:keepNext w:val="true"/>
      <w:spacing w:before="240" w:after="120"/>
    </w:pPr>
    <w:rPr>
      <w:rFonts w:ascii="Liberation Sans;Arial" w:hAnsi="Liberation Sans;Arial"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Ttulo21" w:customStyle="1">
    <w:name w:val="Título2"/>
    <w:basedOn w:val="Normal"/>
    <w:next w:val="Corpodotexto"/>
    <w:qFormat/>
    <w:pPr>
      <w:keepNext w:val="true"/>
      <w:spacing w:before="240" w:after="120"/>
    </w:pPr>
    <w:rPr>
      <w:rFonts w:ascii="Liberation Sans;Arial" w:hAnsi="Liberation Sans;Arial" w:eastAsia="Microsoft YaHei" w:cs="Arial"/>
      <w:sz w:val="28"/>
      <w:szCs w:val="28"/>
    </w:rPr>
  </w:style>
  <w:style w:type="paragraph" w:styleId="Ttulo11" w:customStyle="1">
    <w:name w:val="Título1"/>
    <w:basedOn w:val="Normal"/>
    <w:next w:val="Corpodotexto"/>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
    <w:name w:val="Header"/>
    <w:basedOn w:val="Normal"/>
    <w:pPr>
      <w:tabs>
        <w:tab w:val="clear" w:pos="708"/>
        <w:tab w:val="center" w:pos="4419" w:leader="none"/>
        <w:tab w:val="right" w:pos="8838" w:leader="none"/>
      </w:tabs>
    </w:pPr>
    <w:rPr/>
  </w:style>
  <w:style w:type="paragraph" w:styleId="Subttulo">
    <w:name w:val="Subtitle"/>
    <w:basedOn w:val="Normal"/>
    <w:next w:val="Corpodotexto"/>
    <w:uiPriority w:val="11"/>
    <w:qFormat/>
    <w:pPr>
      <w:overflowPunct w:val="false"/>
      <w:ind w:firstLine="708"/>
      <w:jc w:val="center"/>
      <w:textAlignment w:val="auto"/>
    </w:pPr>
    <w:rPr>
      <w:smallCaps/>
      <w:shadow/>
      <w:sz w:val="36"/>
      <w:szCs w:val="24"/>
    </w:rPr>
  </w:style>
  <w:style w:type="paragraph" w:styleId="Rodap">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spacing w:lineRule="auto" w:line="276" w:before="0" w:after="200"/>
      <w:ind w:left="720" w:hanging="0"/>
      <w:contextualSpacing/>
    </w:pPr>
    <w:rPr>
      <w:rFonts w:ascii="Calibri" w:hAnsi="Calibri" w:eastAsia="Calibri" w:cs="Calibri"/>
      <w:sz w:val="22"/>
      <w:szCs w:val="22"/>
    </w:rPr>
  </w:style>
  <w:style w:type="paragraph" w:styleId="Contedodatabela" w:customStyle="1">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fals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hanging="0"/>
    </w:pPr>
    <w:rPr>
      <w:sz w:val="16"/>
      <w:szCs w:val="16"/>
    </w:rPr>
  </w:style>
  <w:style w:type="paragraph" w:styleId="Corpodetexto21" w:customStyle="1">
    <w:name w:val="Corpo de texto 21"/>
    <w:basedOn w:val="Normal"/>
    <w:qFormat/>
    <w:pPr>
      <w:overflowPunct w:val="false"/>
      <w:spacing w:lineRule="auto" w:line="480" w:before="0" w:after="120"/>
      <w:textAlignment w:val="auto"/>
    </w:pPr>
    <w:rPr>
      <w:kern w:val="2"/>
    </w:rPr>
  </w:style>
  <w:style w:type="paragraph" w:styleId="Default" w:customStyle="1">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2"/>
      <w:sz w:val="24"/>
      <w:szCs w:val="24"/>
      <w:lang w:eastAsia="zh-CN" w:val="pt-BR" w:bidi="ar-SA"/>
    </w:rPr>
  </w:style>
  <w:style w:type="paragraph" w:styleId="Standard" w:customStyle="1">
    <w:name w:val="Standard"/>
    <w:qFormat/>
    <w:pPr>
      <w:widowControl w:val="false"/>
      <w:suppressAutoHyphens w:val="true"/>
      <w:overflowPunct w:val="true"/>
      <w:bidi w:val="0"/>
      <w:spacing w:before="0" w:after="0"/>
      <w:jc w:val="left"/>
      <w:textAlignment w:val="baseline"/>
    </w:pPr>
    <w:rPr>
      <w:rFonts w:ascii="Times New Roman" w:hAnsi="Times New Roman" w:eastAsia="Arial Unicode MS" w:cs="Tahoma"/>
      <w:color w:val="auto"/>
      <w:kern w:val="2"/>
      <w:sz w:val="24"/>
      <w:szCs w:val="24"/>
      <w:lang w:eastAsia="zh-CN" w:bidi="hi-IN" w:val="pt-BR"/>
    </w:rPr>
  </w:style>
  <w:style w:type="paragraph" w:styleId="Textodecomentrio1" w:customStyle="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false"/>
      <w:textAlignment w:val="auto"/>
    </w:pPr>
    <w:rPr/>
  </w:style>
  <w:style w:type="paragraph" w:styleId="Nivel01" w:customStyle="1">
    <w:name w:val="Nivel 01"/>
    <w:basedOn w:val="Ttulo1"/>
    <w:next w:val="Normal"/>
    <w:qFormat/>
    <w:pPr>
      <w:keepLines/>
      <w:numPr>
        <w:ilvl w:val="0"/>
        <w:numId w:val="5"/>
      </w:numPr>
      <w:tabs>
        <w:tab w:val="clear" w:pos="708"/>
        <w:tab w:val="left" w:pos="567" w:leader="none"/>
      </w:tabs>
      <w:suppressAutoHyphens w:val="false"/>
      <w:spacing w:before="240" w:after="0"/>
      <w:ind w:left="0" w:hanging="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false"/>
      <w:spacing w:lineRule="auto" w:line="276" w:before="120" w:after="120"/>
      <w:ind w:left="284" w:hanging="0"/>
      <w:jc w:val="both"/>
      <w:textAlignment w:val="auto"/>
    </w:pPr>
    <w:rPr>
      <w:rFonts w:ascii="Arial" w:hAnsi="Arial" w:eastAsia="MS Mincho;ＭＳ 明朝" w:cs="Arial"/>
      <w:color w:val="000000"/>
    </w:rPr>
  </w:style>
  <w:style w:type="paragraph" w:styleId="Nivel4" w:customStyle="1">
    <w:name w:val="Nivel 4"/>
    <w:basedOn w:val="Nivel3"/>
    <w:qFormat/>
    <w:pPr>
      <w:ind w:left="567" w:hanging="0"/>
    </w:pPr>
    <w:rPr/>
  </w:style>
  <w:style w:type="paragraph" w:styleId="Nivel5" w:customStyle="1">
    <w:name w:val="Nivel 5"/>
    <w:basedOn w:val="Nivel4"/>
    <w:qFormat/>
    <w:pPr>
      <w:ind w:left="851" w:hanging="0"/>
    </w:pPr>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Application>LibreOffice/7.5.7.1$Windows_X86_64 LibreOffice_project/47eb0cf7efbacdee9b19ae25d6752381ede23126</Application>
  <AppVersion>15.0000</AppVersion>
  <Pages>8</Pages>
  <Words>3200</Words>
  <Characters>18508</Characters>
  <CharactersWithSpaces>21580</CharactersWithSpaces>
  <Paragraphs>169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2025-02-17T19:34:00Z</cp:lastPrinted>
  <dcterms:modified xsi:type="dcterms:W3CDTF">2025-03-12T14:05:34Z</dcterms:modified>
  <cp:revision>21</cp:revision>
  <dc:subject/>
  <dc:title>E D I T A L</dc:title>
</cp:coreProperties>
</file>

<file path=docProps/custom.xml><?xml version="1.0" encoding="utf-8"?>
<Properties xmlns="http://schemas.openxmlformats.org/officeDocument/2006/custom-properties" xmlns:vt="http://schemas.openxmlformats.org/officeDocument/2006/docPropsVTypes"/>
</file>